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395ABF" w:rsidRDefault="00A57E59">
      <w:pPr>
        <w:pStyle w:val="CRCoverPage"/>
        <w:tabs>
          <w:tab w:val="right" w:pos="9639"/>
        </w:tabs>
        <w:spacing w:after="0"/>
        <w:rPr>
          <w:rFonts w:ascii="Times New Roman" w:hAnsi="Times New Roman"/>
          <w:b/>
          <w:i/>
          <w:sz w:val="28"/>
          <w:lang w:val="en-US" w:eastAsia="zh-CN"/>
        </w:rPr>
      </w:pPr>
      <w:r>
        <w:rPr>
          <w:rFonts w:ascii="Times New Roman" w:hAnsi="Times New Roman"/>
          <w:b/>
          <w:sz w:val="24"/>
        </w:rPr>
        <w:t>3GPP TSG-RAN WG1 Meeting #1</w:t>
      </w:r>
      <w:r>
        <w:rPr>
          <w:rFonts w:ascii="Times New Roman" w:hAnsi="Times New Roman"/>
          <w:b/>
          <w:sz w:val="24"/>
          <w:lang w:val="en-US" w:eastAsia="zh-CN"/>
        </w:rPr>
        <w:t>1</w:t>
      </w:r>
      <w:r>
        <w:rPr>
          <w:rFonts w:ascii="Times New Roman" w:hAnsi="Times New Roman" w:hint="eastAsia"/>
          <w:b/>
          <w:sz w:val="24"/>
          <w:lang w:val="en-US" w:eastAsia="zh-CN"/>
        </w:rPr>
        <w:t>2</w:t>
      </w:r>
      <w:r>
        <w:rPr>
          <w:rFonts w:ascii="Times New Roman" w:hAnsi="Times New Roman"/>
          <w:b/>
          <w:i/>
          <w:sz w:val="28"/>
        </w:rPr>
        <w:tab/>
      </w:r>
      <w:r w:rsidRPr="00CB545D">
        <w:rPr>
          <w:rFonts w:ascii="Times New Roman" w:hAnsi="Times New Roman"/>
          <w:b/>
          <w:sz w:val="24"/>
        </w:rPr>
        <w:t>R1-2300369</w:t>
      </w:r>
    </w:p>
    <w:p w:rsidR="00395ABF" w:rsidRDefault="00A57E59">
      <w:pPr>
        <w:pStyle w:val="CRCoverPage"/>
        <w:rPr>
          <w:rFonts w:ascii="Times New Roman" w:hAnsi="Times New Roman"/>
          <w:b/>
          <w:sz w:val="24"/>
          <w:lang w:eastAsia="ja-JP"/>
        </w:rPr>
      </w:pPr>
      <w:r>
        <w:rPr>
          <w:rFonts w:ascii="Times New Roman" w:hAnsi="Times New Roman"/>
          <w:b/>
          <w:sz w:val="24"/>
          <w:lang w:eastAsia="ja-JP"/>
        </w:rPr>
        <w:t>Athens, Greece, February 27</w:t>
      </w:r>
      <w:r>
        <w:rPr>
          <w:rFonts w:ascii="Times New Roman" w:hAnsi="Times New Roman"/>
          <w:b/>
          <w:sz w:val="24"/>
          <w:vertAlign w:val="superscript"/>
          <w:lang w:eastAsia="ja-JP"/>
        </w:rPr>
        <w:t>th</w:t>
      </w:r>
      <w:r>
        <w:rPr>
          <w:rFonts w:ascii="Times New Roman" w:hAnsi="Times New Roman"/>
          <w:b/>
          <w:sz w:val="24"/>
          <w:lang w:eastAsia="ja-JP"/>
        </w:rPr>
        <w:t xml:space="preserve"> – March 3</w:t>
      </w:r>
      <w:r>
        <w:rPr>
          <w:rFonts w:ascii="Times New Roman" w:hAnsi="Times New Roman"/>
          <w:b/>
          <w:sz w:val="24"/>
          <w:vertAlign w:val="superscript"/>
          <w:lang w:eastAsia="ja-JP"/>
        </w:rPr>
        <w:t>rd</w:t>
      </w:r>
      <w:r>
        <w:rPr>
          <w:rFonts w:ascii="Times New Roman" w:hAnsi="Times New Roman"/>
          <w:b/>
          <w:sz w:val="24"/>
          <w:lang w:eastAsia="ja-JP"/>
        </w:rPr>
        <w:t>, 2023</w:t>
      </w:r>
      <w:r>
        <w:rPr>
          <w:rFonts w:ascii="Times New Roman" w:hAnsi="Times New Roman"/>
          <w:b/>
          <w:sz w:val="24"/>
          <w:lang w:eastAsia="ja-JP"/>
        </w:rPr>
        <w:tab/>
      </w:r>
    </w:p>
    <w:p w:rsidR="00395ABF" w:rsidRDefault="00395ABF">
      <w:pPr>
        <w:tabs>
          <w:tab w:val="left" w:pos="1985"/>
        </w:tabs>
        <w:spacing w:before="120" w:after="120" w:line="240" w:lineRule="auto"/>
        <w:ind w:left="1980" w:hanging="1980"/>
        <w:rPr>
          <w:b/>
          <w:sz w:val="22"/>
          <w:szCs w:val="22"/>
        </w:rPr>
      </w:pPr>
    </w:p>
    <w:p w:rsidR="00395ABF" w:rsidRDefault="00A57E59">
      <w:pPr>
        <w:tabs>
          <w:tab w:val="left" w:pos="1985"/>
        </w:tabs>
        <w:spacing w:before="120" w:after="120" w:line="240" w:lineRule="auto"/>
        <w:ind w:left="1980" w:hanging="1980"/>
        <w:rPr>
          <w:b/>
          <w:sz w:val="22"/>
          <w:szCs w:val="22"/>
        </w:rPr>
      </w:pPr>
      <w:r>
        <w:rPr>
          <w:b/>
          <w:sz w:val="22"/>
          <w:szCs w:val="22"/>
        </w:rPr>
        <w:t xml:space="preserve">Source: </w:t>
      </w:r>
      <w:r>
        <w:rPr>
          <w:b/>
          <w:sz w:val="22"/>
          <w:szCs w:val="22"/>
        </w:rPr>
        <w:tab/>
        <w:t xml:space="preserve">ZTE, </w:t>
      </w:r>
      <w:proofErr w:type="spellStart"/>
      <w:r>
        <w:rPr>
          <w:b/>
          <w:sz w:val="22"/>
          <w:szCs w:val="22"/>
        </w:rPr>
        <w:t>Sanechips</w:t>
      </w:r>
      <w:proofErr w:type="spellEnd"/>
    </w:p>
    <w:p w:rsidR="00395ABF" w:rsidRDefault="00A57E59">
      <w:pPr>
        <w:tabs>
          <w:tab w:val="left" w:pos="1985"/>
        </w:tabs>
        <w:spacing w:before="120" w:after="120" w:line="240" w:lineRule="auto"/>
        <w:ind w:left="1980" w:hanging="1980"/>
        <w:rPr>
          <w:b/>
          <w:sz w:val="22"/>
          <w:szCs w:val="22"/>
        </w:rPr>
      </w:pPr>
      <w:r>
        <w:rPr>
          <w:b/>
          <w:sz w:val="22"/>
          <w:szCs w:val="22"/>
        </w:rPr>
        <w:t>Title:</w:t>
      </w:r>
      <w:r>
        <w:rPr>
          <w:b/>
          <w:sz w:val="22"/>
          <w:szCs w:val="22"/>
        </w:rPr>
        <w:tab/>
      </w:r>
      <w:r>
        <w:rPr>
          <w:rFonts w:hint="eastAsia"/>
          <w:b/>
          <w:sz w:val="22"/>
          <w:szCs w:val="22"/>
        </w:rPr>
        <w:t>Discussion on remaining issues of UE power saving</w:t>
      </w:r>
    </w:p>
    <w:p w:rsidR="00395ABF" w:rsidRDefault="00A57E59">
      <w:pPr>
        <w:tabs>
          <w:tab w:val="left" w:pos="1985"/>
        </w:tabs>
        <w:spacing w:before="120" w:after="120" w:line="240" w:lineRule="auto"/>
        <w:rPr>
          <w:b/>
          <w:sz w:val="22"/>
          <w:szCs w:val="22"/>
        </w:rPr>
      </w:pPr>
      <w:r>
        <w:rPr>
          <w:b/>
          <w:sz w:val="22"/>
          <w:szCs w:val="22"/>
          <w:lang w:val="pt-BR"/>
        </w:rPr>
        <w:t>Agenda item:</w:t>
      </w:r>
      <w:r>
        <w:rPr>
          <w:b/>
          <w:sz w:val="22"/>
          <w:szCs w:val="22"/>
          <w:lang w:val="pt-BR"/>
        </w:rPr>
        <w:tab/>
        <w:t>8.7</w:t>
      </w:r>
    </w:p>
    <w:p w:rsidR="00395ABF" w:rsidRDefault="00A57E59">
      <w:pPr>
        <w:tabs>
          <w:tab w:val="left" w:pos="1985"/>
        </w:tabs>
        <w:spacing w:before="120" w:after="120" w:line="240" w:lineRule="auto"/>
        <w:ind w:left="1980" w:hanging="1980"/>
        <w:rPr>
          <w:b/>
          <w:sz w:val="22"/>
          <w:szCs w:val="22"/>
          <w:lang w:val="pt-BR"/>
        </w:rPr>
      </w:pPr>
      <w:r>
        <w:rPr>
          <w:b/>
          <w:sz w:val="22"/>
          <w:szCs w:val="22"/>
          <w:lang w:val="pt-BR"/>
        </w:rPr>
        <w:t>Document for:</w:t>
      </w:r>
      <w:r>
        <w:rPr>
          <w:b/>
          <w:sz w:val="22"/>
          <w:szCs w:val="22"/>
          <w:lang w:val="pt-BR"/>
        </w:rPr>
        <w:tab/>
      </w:r>
      <w:r>
        <w:rPr>
          <w:b/>
          <w:sz w:val="22"/>
          <w:szCs w:val="22"/>
        </w:rPr>
        <w:t>Discussion and decision</w:t>
      </w:r>
    </w:p>
    <w:p w:rsidR="00395ABF" w:rsidRDefault="00A57E59">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Introduction</w:t>
      </w:r>
    </w:p>
    <w:p w:rsidR="00395ABF" w:rsidRDefault="00A57E59">
      <w:pPr>
        <w:spacing w:before="120" w:after="120"/>
        <w:rPr>
          <w:sz w:val="20"/>
        </w:rPr>
      </w:pPr>
      <w:r>
        <w:rPr>
          <w:rFonts w:hint="eastAsia"/>
        </w:rPr>
        <w:t xml:space="preserve">In this contribution, the </w:t>
      </w:r>
      <w:r>
        <w:t>remaining issues</w:t>
      </w:r>
      <w:r>
        <w:rPr>
          <w:rFonts w:hint="eastAsia"/>
        </w:rPr>
        <w:t xml:space="preserve"> </w:t>
      </w:r>
      <w:r>
        <w:t>of</w:t>
      </w:r>
      <w:r>
        <w:rPr>
          <w:rFonts w:hint="eastAsia"/>
        </w:rPr>
        <w:t xml:space="preserve"> UE power saving are discussed.</w:t>
      </w:r>
    </w:p>
    <w:p w:rsidR="00395ABF" w:rsidRDefault="00A57E59">
      <w:pPr>
        <w:pStyle w:val="1"/>
        <w:spacing w:before="120" w:after="120"/>
        <w:ind w:left="0"/>
        <w:rPr>
          <w:sz w:val="21"/>
          <w:szCs w:val="21"/>
        </w:rPr>
      </w:pPr>
      <w:r>
        <w:rPr>
          <w:rFonts w:ascii="Times New Roman" w:eastAsia="宋体" w:hAnsi="Times New Roman" w:hint="eastAsia"/>
          <w:b/>
          <w:bCs/>
          <w:sz w:val="24"/>
          <w:szCs w:val="24"/>
        </w:rPr>
        <w:t>PDCCH monitoring adaptation</w:t>
      </w:r>
    </w:p>
    <w:p w:rsidR="00395ABF" w:rsidRDefault="00A57E59">
      <w:pPr>
        <w:pStyle w:val="2"/>
        <w:spacing w:before="120" w:after="120" w:line="260" w:lineRule="auto"/>
        <w:ind w:left="0" w:right="210"/>
        <w:rPr>
          <w:rFonts w:ascii="Times New Roman" w:hAnsi="Times New Roman"/>
          <w:b/>
          <w:bCs/>
          <w:sz w:val="22"/>
          <w:szCs w:val="22"/>
        </w:rPr>
      </w:pPr>
      <w:r>
        <w:rPr>
          <w:rFonts w:ascii="Times New Roman" w:eastAsia="宋体" w:hAnsi="Times New Roman"/>
          <w:b/>
          <w:bCs/>
          <w:sz w:val="22"/>
          <w:szCs w:val="22"/>
        </w:rPr>
        <w:t>Termination of PDCCH skipping</w:t>
      </w:r>
    </w:p>
    <w:p w:rsidR="00395ABF" w:rsidRDefault="00A57E59">
      <w:pPr>
        <w:spacing w:before="120" w:after="120"/>
      </w:pPr>
      <w:r>
        <w:rPr>
          <w:rFonts w:hint="eastAsia"/>
        </w:rPr>
        <w:t xml:space="preserve">In R1-2300020, </w:t>
      </w:r>
      <w:r>
        <w:rPr>
          <w:lang w:eastAsia="zh-TW"/>
        </w:rPr>
        <w:t>RAN2 ha</w:t>
      </w:r>
      <w:r>
        <w:rPr>
          <w:rFonts w:hint="eastAsia"/>
        </w:rPr>
        <w:t>s</w:t>
      </w:r>
      <w:r>
        <w:rPr>
          <w:lang w:eastAsia="zh-TW"/>
        </w:rPr>
        <w:t xml:space="preserve"> agreed that the following cases are missing in the RAN1 specification</w:t>
      </w:r>
      <w:r>
        <w:rPr>
          <w:rFonts w:hint="eastAsia"/>
        </w:rPr>
        <w:t>.</w:t>
      </w:r>
    </w:p>
    <w:tbl>
      <w:tblPr>
        <w:tblStyle w:val="af0"/>
        <w:tblW w:w="5000" w:type="pct"/>
        <w:tblLook w:val="04A0" w:firstRow="1" w:lastRow="0" w:firstColumn="1" w:lastColumn="0" w:noHBand="0" w:noVBand="1"/>
      </w:tblPr>
      <w:tblGrid>
        <w:gridCol w:w="9650"/>
      </w:tblGrid>
      <w:tr w:rsidR="00395ABF">
        <w:tc>
          <w:tcPr>
            <w:tcW w:w="5000" w:type="pct"/>
          </w:tcPr>
          <w:p w:rsidR="00395ABF" w:rsidRDefault="00A57E59">
            <w:pPr>
              <w:spacing w:before="120" w:after="120"/>
            </w:pPr>
            <w:r>
              <w:rPr>
                <w:rFonts w:hint="eastAsia"/>
              </w:rPr>
              <w:t>R1-2300020</w:t>
            </w:r>
          </w:p>
          <w:p w:rsidR="00395ABF" w:rsidRDefault="00A57E59">
            <w:pPr>
              <w:spacing w:before="120" w:after="120"/>
            </w:pPr>
            <w:r>
              <w:rPr>
                <w:rFonts w:hint="eastAsia"/>
              </w:rPr>
              <w:t xml:space="preserve">Case 1: </w:t>
            </w:r>
            <w:r>
              <w:rPr>
                <w:lang w:eastAsia="zh-TW"/>
              </w:rPr>
              <w:t xml:space="preserve">UE shall monitor PDCCH regardless of previously received skipping command on </w:t>
            </w:r>
            <w:proofErr w:type="spellStart"/>
            <w:r>
              <w:rPr>
                <w:lang w:eastAsia="zh-TW"/>
              </w:rPr>
              <w:t>SpCell</w:t>
            </w:r>
            <w:proofErr w:type="spellEnd"/>
            <w:r>
              <w:rPr>
                <w:lang w:eastAsia="zh-TW"/>
              </w:rPr>
              <w:t xml:space="preserve"> after successful contention resolution.</w:t>
            </w:r>
          </w:p>
          <w:p w:rsidR="00395ABF" w:rsidRDefault="00A57E59">
            <w:pPr>
              <w:spacing w:before="120" w:after="120"/>
            </w:pPr>
            <w:r>
              <w:rPr>
                <w:rFonts w:hint="eastAsia"/>
              </w:rPr>
              <w:t xml:space="preserve">Case 2: </w:t>
            </w:r>
            <w:r>
              <w:t xml:space="preserve">UE shall monitor PDCCH regardless of skipping command on </w:t>
            </w:r>
            <w:r w:rsidRPr="00CB545D">
              <w:t>all serving cells of the corresponding Cell Group if UE detect the PDCCH skipping command after SR is sent and is pending.</w:t>
            </w:r>
          </w:p>
          <w:p w:rsidR="00395ABF" w:rsidRDefault="00A57E59">
            <w:pPr>
              <w:spacing w:before="120" w:after="120"/>
            </w:pPr>
            <w:r>
              <w:rPr>
                <w:rFonts w:hint="eastAsia"/>
              </w:rPr>
              <w:t xml:space="preserve">Case 3: </w:t>
            </w:r>
            <w:r>
              <w:t>UE shall monitor PDCCH regardless of previously received skipping command on all serving cells of the corresponding Cell Group after the pending SR is cancelled.</w:t>
            </w:r>
          </w:p>
        </w:tc>
      </w:tr>
    </w:tbl>
    <w:p w:rsidR="00395ABF" w:rsidRDefault="00A57E59">
      <w:pPr>
        <w:spacing w:before="120" w:after="120"/>
      </w:pPr>
      <w:r>
        <w:rPr>
          <w:rFonts w:hint="eastAsia"/>
        </w:rPr>
        <w:t xml:space="preserve">For case 1, it is indeed missing in TS 38.213. In RAN1 specification, </w:t>
      </w:r>
      <w:r>
        <w:rPr>
          <w:rFonts w:hint="eastAsia"/>
          <w:lang w:eastAsia="zh-TW"/>
        </w:rPr>
        <w:t>successful contention resolution</w:t>
      </w:r>
      <w:r>
        <w:rPr>
          <w:rFonts w:hint="eastAsia"/>
        </w:rPr>
        <w:t xml:space="preserve"> is represented by </w:t>
      </w:r>
      <w:r>
        <w:t>detect</w:t>
      </w:r>
      <w:r>
        <w:rPr>
          <w:rFonts w:hint="eastAsia"/>
        </w:rPr>
        <w:t>ing</w:t>
      </w:r>
      <w:r>
        <w:t xml:space="preserve"> a DCI format 1_0 with CRC scrambled by a corresponding TC-RNTI scheduling a PDSCH that includes a UE contention resolution identity</w:t>
      </w:r>
      <w:r>
        <w:rPr>
          <w:rFonts w:hint="eastAsia"/>
        </w:rPr>
        <w:t>. Therefore, the following proposal is proposed.</w:t>
      </w:r>
    </w:p>
    <w:p w:rsidR="00395ABF" w:rsidRDefault="00A57E59">
      <w:pPr>
        <w:pStyle w:val="YJ-Proposal"/>
        <w:spacing w:before="120" w:after="120"/>
        <w:rPr>
          <w:lang w:val="en-US" w:eastAsia="zh-CN"/>
        </w:rPr>
      </w:pPr>
      <w:bookmarkStart w:id="0" w:name="_Toc12189"/>
      <w:r>
        <w:rPr>
          <w:i w:val="0"/>
          <w:iCs w:val="0"/>
          <w:lang w:eastAsia="zh-CN"/>
        </w:rPr>
        <w:t xml:space="preserve">The </w:t>
      </w:r>
      <w:r>
        <w:rPr>
          <w:rFonts w:hint="eastAsia"/>
          <w:i w:val="0"/>
          <w:iCs w:val="0"/>
          <w:lang w:val="en-US" w:eastAsia="zh-CN"/>
        </w:rPr>
        <w:t>following t</w:t>
      </w:r>
      <w:proofErr w:type="spellStart"/>
      <w:r>
        <w:rPr>
          <w:i w:val="0"/>
          <w:iCs w:val="0"/>
          <w:lang w:eastAsia="zh-CN"/>
        </w:rPr>
        <w:t>ext</w:t>
      </w:r>
      <w:proofErr w:type="spellEnd"/>
      <w:r>
        <w:rPr>
          <w:i w:val="0"/>
          <w:iCs w:val="0"/>
          <w:lang w:eastAsia="zh-CN"/>
        </w:rPr>
        <w:t xml:space="preserve"> </w:t>
      </w:r>
      <w:r>
        <w:rPr>
          <w:i w:val="0"/>
          <w:iCs w:val="0"/>
          <w:lang w:val="en-US" w:eastAsia="zh-CN"/>
        </w:rPr>
        <w:t>should be adopted.</w:t>
      </w:r>
      <w:bookmarkEnd w:id="0"/>
    </w:p>
    <w:tbl>
      <w:tblPr>
        <w:tblStyle w:val="af0"/>
        <w:tblW w:w="5000" w:type="pct"/>
        <w:tblLook w:val="04A0" w:firstRow="1" w:lastRow="0" w:firstColumn="1" w:lastColumn="0" w:noHBand="0" w:noVBand="1"/>
      </w:tblPr>
      <w:tblGrid>
        <w:gridCol w:w="9650"/>
      </w:tblGrid>
      <w:tr w:rsidR="00395ABF">
        <w:tc>
          <w:tcPr>
            <w:tcW w:w="5000" w:type="pct"/>
          </w:tcPr>
          <w:p w:rsidR="00395ABF" w:rsidRDefault="00A57E59">
            <w:pPr>
              <w:spacing w:before="120" w:after="120"/>
            </w:pPr>
            <w:r>
              <w:rPr>
                <w:rFonts w:hint="eastAsia"/>
              </w:rPr>
              <w:t>TS 38.213</w:t>
            </w:r>
          </w:p>
          <w:p w:rsidR="00395ABF" w:rsidRDefault="00A57E59">
            <w:pPr>
              <w:spacing w:before="120" w:after="120"/>
              <w:jc w:val="center"/>
            </w:pPr>
            <w:r>
              <w:rPr>
                <w:b/>
                <w:color w:val="FF0000"/>
                <w:sz w:val="20"/>
              </w:rPr>
              <w:t>&lt;Unchanged parts are omitted&gt;</w:t>
            </w:r>
          </w:p>
          <w:p w:rsidR="00395ABF" w:rsidRDefault="00A57E59">
            <w:pPr>
              <w:spacing w:before="120" w:after="120"/>
              <w:rPr>
                <w:lang w:eastAsia="ja-JP"/>
              </w:rPr>
            </w:pPr>
            <w:r>
              <w:rPr>
                <w:lang w:eastAsia="ja-JP"/>
              </w:rPr>
              <w:t>10.4</w:t>
            </w:r>
            <w:r>
              <w:rPr>
                <w:lang w:eastAsia="ja-JP"/>
              </w:rPr>
              <w:tab/>
              <w:t>Search space set group switching and skipping of PDCCH monitoring</w:t>
            </w:r>
          </w:p>
          <w:p w:rsidR="00395ABF" w:rsidRDefault="00A57E59">
            <w:pPr>
              <w:spacing w:before="120" w:after="120"/>
              <w:rPr>
                <w:color w:val="FF0000"/>
              </w:rPr>
            </w:pPr>
            <w:r>
              <w:t xml:space="preserve">When the PDCCH monitoring </w:t>
            </w:r>
            <w:proofErr w:type="gramStart"/>
            <w:r>
              <w:t>adaptation</w:t>
            </w:r>
            <w:proofErr w:type="gramEnd"/>
            <w:r>
              <w:t xml:space="preserve">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 If the UE transmits a PUCCH providing a positive SR after the UE detects a DCI format providing the PDCCH monitoring adaptation field indicating to the UE to skip PDCCH monitoring for the duration on the active DL BWP of the serving cell, the UE resumes PDCCH monitoring starting at the beginning of a first slot that is after a last symbol of the PUCCH transmission. During the time of </w:t>
            </w:r>
            <w:r>
              <w:rPr>
                <w:i/>
                <w:iCs/>
              </w:rPr>
              <w:t>ra-</w:t>
            </w:r>
            <w:proofErr w:type="spellStart"/>
            <w:r>
              <w:rPr>
                <w:i/>
                <w:iCs/>
              </w:rPr>
              <w:t>ResponseWindow</w:t>
            </w:r>
            <w:proofErr w:type="spellEnd"/>
            <w:r>
              <w:t xml:space="preserve"> or </w:t>
            </w:r>
            <w:proofErr w:type="spellStart"/>
            <w:r>
              <w:rPr>
                <w:i/>
                <w:iCs/>
              </w:rPr>
              <w:t>msgB-ResponseWindow</w:t>
            </w:r>
            <w:proofErr w:type="spellEnd"/>
            <w:r>
              <w:t xml:space="preserve"> or the duration where </w:t>
            </w:r>
            <w:r>
              <w:rPr>
                <w:i/>
                <w:iCs/>
              </w:rPr>
              <w:t>ra-</w:t>
            </w:r>
            <w:proofErr w:type="spellStart"/>
            <w:r>
              <w:rPr>
                <w:i/>
                <w:iCs/>
              </w:rPr>
              <w:t>ContentionResolutionTimer</w:t>
            </w:r>
            <w:proofErr w:type="spellEnd"/>
            <w:r>
              <w:t xml:space="preserve"> is running, the UE shall not skip PDCCH monitoring on </w:t>
            </w:r>
            <w:proofErr w:type="spellStart"/>
            <w:r>
              <w:t>SpCell</w:t>
            </w:r>
            <w:proofErr w:type="spellEnd"/>
            <w:r>
              <w:t>. If the DRX group of the serving cell is configured and enters outside Active Time, the UE terminates PDCCH skipping for the serving cell.</w:t>
            </w:r>
            <w:r>
              <w:rPr>
                <w:rFonts w:hint="eastAsia"/>
              </w:rPr>
              <w:t xml:space="preserve"> </w:t>
            </w:r>
            <w:r>
              <w:rPr>
                <w:rFonts w:hint="eastAsia"/>
                <w:color w:val="FF0000"/>
              </w:rPr>
              <w:t xml:space="preserve">If UE </w:t>
            </w:r>
            <w:r>
              <w:rPr>
                <w:color w:val="FF0000"/>
              </w:rPr>
              <w:t>detect</w:t>
            </w:r>
            <w:r>
              <w:rPr>
                <w:rFonts w:hint="eastAsia"/>
                <w:color w:val="FF0000"/>
              </w:rPr>
              <w:t>s</w:t>
            </w:r>
            <w:r>
              <w:rPr>
                <w:color w:val="FF0000"/>
              </w:rPr>
              <w:t xml:space="preserve"> a DCI format 1_0 with CRC scrambled by a corresponding TC-RNTI scheduling a PDSCH that includes a UE contention resolution identity</w:t>
            </w:r>
            <w:r>
              <w:rPr>
                <w:rFonts w:hint="eastAsia"/>
                <w:color w:val="FF0000"/>
              </w:rPr>
              <w:t xml:space="preserve"> after a PUSCH transmission scheduled by a RAR UL grant when a UE has not been provided a C-RNTI, </w:t>
            </w:r>
            <w:r>
              <w:rPr>
                <w:color w:val="FF0000"/>
              </w:rPr>
              <w:t xml:space="preserve">the UE terminates </w:t>
            </w:r>
            <w:r>
              <w:rPr>
                <w:color w:val="FF0000"/>
              </w:rPr>
              <w:lastRenderedPageBreak/>
              <w:t xml:space="preserve">PDCCH skipping </w:t>
            </w:r>
            <w:r>
              <w:rPr>
                <w:rFonts w:hint="eastAsia"/>
                <w:color w:val="FF0000"/>
              </w:rPr>
              <w:t xml:space="preserve">on </w:t>
            </w:r>
            <w:proofErr w:type="spellStart"/>
            <w:r>
              <w:rPr>
                <w:rFonts w:hint="eastAsia"/>
                <w:color w:val="FF0000"/>
              </w:rPr>
              <w:t>SpCell</w:t>
            </w:r>
            <w:proofErr w:type="spellEnd"/>
            <w:r>
              <w:rPr>
                <w:rFonts w:hint="eastAsia"/>
                <w:color w:val="FF0000"/>
              </w:rPr>
              <w:t>.</w:t>
            </w:r>
          </w:p>
          <w:p w:rsidR="00395ABF" w:rsidRDefault="00A57E59">
            <w:pPr>
              <w:spacing w:before="120" w:after="120"/>
              <w:jc w:val="center"/>
              <w:rPr>
                <w:color w:val="FF0000"/>
              </w:rPr>
            </w:pPr>
            <w:r>
              <w:rPr>
                <w:b/>
                <w:color w:val="FF0000"/>
                <w:sz w:val="20"/>
              </w:rPr>
              <w:t>&lt;Unchanged parts are omitted&gt;</w:t>
            </w:r>
          </w:p>
        </w:tc>
      </w:tr>
    </w:tbl>
    <w:p w:rsidR="00395ABF" w:rsidRDefault="00395ABF">
      <w:pPr>
        <w:spacing w:before="120" w:after="120"/>
      </w:pPr>
    </w:p>
    <w:p w:rsidR="00395ABF" w:rsidRDefault="00A57E59">
      <w:pPr>
        <w:spacing w:before="120" w:after="120"/>
      </w:pPr>
      <w:r>
        <w:rPr>
          <w:rFonts w:hint="eastAsia"/>
        </w:rPr>
        <w:t xml:space="preserve">In TS 38.213, UE resumes PDCCH monitoring starting at the beginning of a first slot that is after a last symbol of the PUCCH transmission, which means the UE stops PDCCH skipping after transmitting a positive SR. </w:t>
      </w:r>
      <w:r>
        <w:t>When an SR is triggered, it shall be considered as pending until it is cancelled.</w:t>
      </w:r>
      <w:r>
        <w:rPr>
          <w:rFonts w:hint="eastAsia"/>
        </w:rPr>
        <w:t xml:space="preserve"> Therefore, the case 2 and case 3 have been captured in TS 38.213 and </w:t>
      </w:r>
      <w:r>
        <w:t xml:space="preserve">there is </w:t>
      </w:r>
      <w:r>
        <w:rPr>
          <w:rFonts w:hint="eastAsia"/>
        </w:rPr>
        <w:t>no need to change the specification.</w:t>
      </w:r>
    </w:p>
    <w:tbl>
      <w:tblPr>
        <w:tblStyle w:val="af0"/>
        <w:tblW w:w="5000" w:type="pct"/>
        <w:tblLook w:val="04A0" w:firstRow="1" w:lastRow="0" w:firstColumn="1" w:lastColumn="0" w:noHBand="0" w:noVBand="1"/>
      </w:tblPr>
      <w:tblGrid>
        <w:gridCol w:w="9650"/>
      </w:tblGrid>
      <w:tr w:rsidR="00395ABF">
        <w:tc>
          <w:tcPr>
            <w:tcW w:w="5000" w:type="pct"/>
          </w:tcPr>
          <w:p w:rsidR="00395ABF" w:rsidRDefault="00A57E59">
            <w:pPr>
              <w:spacing w:before="120" w:after="120"/>
            </w:pPr>
            <w:r>
              <w:rPr>
                <w:rFonts w:hint="eastAsia"/>
              </w:rPr>
              <w:t>TS 38.213</w:t>
            </w:r>
          </w:p>
          <w:p w:rsidR="00395ABF" w:rsidRDefault="00A57E59">
            <w:pPr>
              <w:spacing w:before="120" w:after="120"/>
              <w:rPr>
                <w:rFonts w:ascii="Arial" w:hAnsi="Arial" w:cs="Arial"/>
              </w:rPr>
            </w:pPr>
            <w:r>
              <w:t xml:space="preserve">When the PDCCH monitoring </w:t>
            </w:r>
            <w:proofErr w:type="gramStart"/>
            <w:r>
              <w:t>adaptation</w:t>
            </w:r>
            <w:proofErr w:type="gramEnd"/>
            <w:r>
              <w:t xml:space="preserve">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 </w:t>
            </w:r>
            <w:r>
              <w:rPr>
                <w:highlight w:val="yellow"/>
              </w:rPr>
              <w:t xml:space="preserve">If the UE transmits a PUCCH providing a positive SR after the UE detects a DCI format providing the PDCCH monitoring adaptation field indicating to the UE to skip PDCCH monitoring for the duration on the active DL BWP of the serving cell, the UE resumes PDCCH monitoring starting at the beginning of a first slot that is after a last symbol of the PUCCH transmission. </w:t>
            </w:r>
            <w:r>
              <w:t xml:space="preserve">During the time of </w:t>
            </w:r>
            <w:r>
              <w:rPr>
                <w:i/>
                <w:iCs/>
              </w:rPr>
              <w:t>ra-</w:t>
            </w:r>
            <w:proofErr w:type="spellStart"/>
            <w:r>
              <w:rPr>
                <w:i/>
                <w:iCs/>
              </w:rPr>
              <w:t>ResponseWindow</w:t>
            </w:r>
            <w:proofErr w:type="spellEnd"/>
            <w:r>
              <w:t xml:space="preserve"> or </w:t>
            </w:r>
            <w:proofErr w:type="spellStart"/>
            <w:r>
              <w:rPr>
                <w:i/>
                <w:iCs/>
              </w:rPr>
              <w:t>msgB-ResponseWindow</w:t>
            </w:r>
            <w:proofErr w:type="spellEnd"/>
            <w:r>
              <w:t xml:space="preserve"> or the duration where </w:t>
            </w:r>
            <w:r>
              <w:rPr>
                <w:i/>
                <w:iCs/>
              </w:rPr>
              <w:t>ra-</w:t>
            </w:r>
            <w:proofErr w:type="spellStart"/>
            <w:r>
              <w:rPr>
                <w:i/>
                <w:iCs/>
              </w:rPr>
              <w:t>ContentionResolutionTimer</w:t>
            </w:r>
            <w:proofErr w:type="spellEnd"/>
            <w:r>
              <w:t xml:space="preserve"> is running, the UE shall not skip PDCCH monitoring on </w:t>
            </w:r>
            <w:proofErr w:type="spellStart"/>
            <w:r>
              <w:t>SpCell</w:t>
            </w:r>
            <w:proofErr w:type="spellEnd"/>
            <w:r>
              <w:t>. If the DRX group of the serving cell is configured and enters outside Active Time, the UE terminates PDCCH skipping for the serving cell.</w:t>
            </w:r>
          </w:p>
        </w:tc>
      </w:tr>
    </w:tbl>
    <w:p w:rsidR="00395ABF" w:rsidRDefault="00395ABF">
      <w:pPr>
        <w:spacing w:before="120" w:after="120"/>
      </w:pPr>
    </w:p>
    <w:p w:rsidR="00395ABF" w:rsidRDefault="00A57E59">
      <w:pPr>
        <w:pStyle w:val="2"/>
        <w:spacing w:before="120" w:after="120" w:line="260" w:lineRule="auto"/>
        <w:ind w:left="0" w:right="210"/>
        <w:rPr>
          <w:rFonts w:ascii="Times New Roman" w:hAnsi="Times New Roman"/>
          <w:b/>
          <w:bCs/>
          <w:sz w:val="22"/>
          <w:szCs w:val="22"/>
        </w:rPr>
      </w:pPr>
      <w:r>
        <w:rPr>
          <w:rFonts w:ascii="Times New Roman" w:hAnsi="Times New Roman" w:hint="eastAsia"/>
          <w:b/>
          <w:bCs/>
          <w:sz w:val="22"/>
          <w:szCs w:val="22"/>
        </w:rPr>
        <w:t>Receiving inconsistent indication during application delay</w:t>
      </w:r>
    </w:p>
    <w:p w:rsidR="00395ABF" w:rsidRDefault="00A57E59">
      <w:pPr>
        <w:pStyle w:val="CRCoverPage"/>
        <w:spacing w:afterLines="50"/>
        <w:rPr>
          <w:rFonts w:ascii="Times New Roman" w:eastAsia="宋体" w:hAnsi="Times New Roman"/>
          <w:kern w:val="2"/>
          <w:sz w:val="21"/>
          <w:lang w:val="en-US" w:eastAsia="zh-CN"/>
        </w:rPr>
      </w:pPr>
      <w:r>
        <w:rPr>
          <w:rFonts w:ascii="Times New Roman" w:eastAsia="宋体" w:hAnsi="Times New Roman" w:hint="eastAsia"/>
          <w:kern w:val="2"/>
          <w:sz w:val="21"/>
          <w:lang w:val="en-US" w:eastAsia="zh-CN"/>
        </w:rPr>
        <w:t xml:space="preserve">In RAN1#108e meeting, </w:t>
      </w:r>
      <w:r>
        <w:rPr>
          <w:rFonts w:ascii="Times New Roman" w:eastAsia="宋体" w:hAnsi="Times New Roman"/>
          <w:kern w:val="2"/>
          <w:sz w:val="21"/>
          <w:lang w:val="en-US" w:eastAsia="zh-CN"/>
        </w:rPr>
        <w:t>the</w:t>
      </w:r>
      <w:r>
        <w:rPr>
          <w:rFonts w:ascii="Times New Roman" w:eastAsia="宋体" w:hAnsi="Times New Roman" w:hint="eastAsia"/>
          <w:kern w:val="2"/>
          <w:sz w:val="21"/>
          <w:lang w:val="en-US" w:eastAsia="zh-CN"/>
        </w:rPr>
        <w:t xml:space="preserve"> working assumption</w:t>
      </w:r>
      <w:r>
        <w:rPr>
          <w:rFonts w:ascii="Times New Roman" w:eastAsia="宋体" w:hAnsi="Times New Roman"/>
          <w:kern w:val="2"/>
          <w:sz w:val="21"/>
          <w:lang w:val="en-US" w:eastAsia="zh-CN"/>
        </w:rPr>
        <w:t xml:space="preserve"> that</w:t>
      </w:r>
      <w:r>
        <w:rPr>
          <w:rFonts w:ascii="Times New Roman" w:eastAsia="宋体" w:hAnsi="Times New Roman" w:hint="eastAsia"/>
          <w:kern w:val="2"/>
          <w:sz w:val="21"/>
          <w:lang w:val="en-US" w:eastAsia="zh-CN"/>
        </w:rPr>
        <w:t xml:space="preserve"> UE does not expect to receive an inconsistent indication during application delay was captured. And corresponding text in TS38.213 is shown as below.</w:t>
      </w:r>
    </w:p>
    <w:tbl>
      <w:tblPr>
        <w:tblStyle w:val="af0"/>
        <w:tblW w:w="0" w:type="auto"/>
        <w:tblLook w:val="04A0" w:firstRow="1" w:lastRow="0" w:firstColumn="1" w:lastColumn="0" w:noHBand="0" w:noVBand="1"/>
      </w:tblPr>
      <w:tblGrid>
        <w:gridCol w:w="9650"/>
      </w:tblGrid>
      <w:tr w:rsidR="00395ABF">
        <w:tc>
          <w:tcPr>
            <w:tcW w:w="9876" w:type="dxa"/>
          </w:tcPr>
          <w:p w:rsidR="00395ABF" w:rsidRDefault="00A57E59">
            <w:pPr>
              <w:pStyle w:val="CRCoverPage"/>
              <w:spacing w:afterLines="50"/>
              <w:rPr>
                <w:rFonts w:ascii="Times New Roman" w:eastAsia="宋体" w:hAnsi="Times New Roman"/>
                <w:kern w:val="2"/>
                <w:sz w:val="21"/>
                <w:szCs w:val="21"/>
                <w:lang w:val="en-US" w:eastAsia="zh-CN"/>
              </w:rPr>
            </w:pPr>
            <w:r>
              <w:rPr>
                <w:rFonts w:ascii="Times New Roman" w:hAnsi="Times New Roman"/>
                <w:color w:val="000000"/>
                <w:sz w:val="21"/>
                <w:szCs w:val="21"/>
                <w:highlight w:val="darkYellow"/>
                <w:shd w:val="clear" w:color="auto" w:fill="FFFF00"/>
              </w:rPr>
              <w:t>Working Assumption: </w:t>
            </w:r>
          </w:p>
          <w:p w:rsidR="00395ABF" w:rsidRDefault="00A57E59">
            <w:pPr>
              <w:pStyle w:val="CRCoverPage"/>
              <w:spacing w:after="0"/>
              <w:rPr>
                <w:rFonts w:ascii="Times New Roman" w:eastAsia="宋体" w:hAnsi="Times New Roman"/>
                <w:kern w:val="2"/>
                <w:sz w:val="21"/>
                <w:szCs w:val="21"/>
                <w:lang w:val="en-US" w:eastAsia="zh-CN"/>
              </w:rPr>
            </w:pPr>
            <w:r>
              <w:rPr>
                <w:rFonts w:ascii="Times New Roman" w:eastAsia="宋体" w:hAnsi="Times New Roman"/>
                <w:kern w:val="2"/>
                <w:sz w:val="21"/>
                <w:szCs w:val="21"/>
                <w:lang w:val="en-US" w:eastAsia="zh-CN"/>
              </w:rPr>
              <w:t xml:space="preserve">When the UE receives DCI format 0_1 /1_1/0_2/1_2 with a ‘PDCCH monitoring adaptation indication' field in slot n, the UE does not expect to receive DCI format 0_1 /1_1/0_2/1_2 with a ‘PDCCH monitoring adaptation indication’ field indicating change to another SSSG or skipping for the same active BWP of the scheduling cell before slot </w:t>
            </w:r>
            <w:proofErr w:type="spellStart"/>
            <w:r>
              <w:rPr>
                <w:rFonts w:ascii="Times New Roman" w:eastAsia="宋体" w:hAnsi="Times New Roman"/>
                <w:kern w:val="2"/>
                <w:sz w:val="21"/>
                <w:szCs w:val="21"/>
                <w:lang w:val="en-US" w:eastAsia="zh-CN"/>
              </w:rPr>
              <w:t>n+X</w:t>
            </w:r>
            <w:proofErr w:type="spellEnd"/>
            <w:r>
              <w:rPr>
                <w:rFonts w:ascii="Times New Roman" w:eastAsia="宋体" w:hAnsi="Times New Roman"/>
                <w:kern w:val="2"/>
                <w:sz w:val="21"/>
                <w:szCs w:val="21"/>
                <w:lang w:val="en-US" w:eastAsia="zh-CN"/>
              </w:rPr>
              <w:t xml:space="preserve"> of the scheduling cell, where X is the value of the application delay.</w:t>
            </w:r>
          </w:p>
          <w:p w:rsidR="00395ABF" w:rsidRDefault="00A57E59">
            <w:pPr>
              <w:pStyle w:val="CRCoverPage"/>
              <w:spacing w:beforeLines="50" w:before="120" w:after="0"/>
              <w:rPr>
                <w:rFonts w:ascii="Times New Roman" w:eastAsia="宋体" w:hAnsi="Times New Roman"/>
                <w:kern w:val="2"/>
                <w:sz w:val="21"/>
                <w:lang w:val="en-US" w:eastAsia="zh-CN"/>
              </w:rPr>
            </w:pPr>
            <w:r>
              <w:rPr>
                <w:rFonts w:ascii="Times New Roman" w:eastAsia="宋体" w:hAnsi="Times New Roman"/>
                <w:kern w:val="2"/>
                <w:sz w:val="21"/>
                <w:szCs w:val="21"/>
                <w:lang w:val="en-US" w:eastAsia="zh-CN"/>
              </w:rPr>
              <w:t>If SSSG timer expires in slot n, the UE does not expect to receive DCI format 0_1 /1_1/0_2/1_2 with a ‘PDCCH monitoring adaptation indication’ field indicating change to another SSSG or skipping for the same acti</w:t>
            </w:r>
            <w:r>
              <w:rPr>
                <w:rFonts w:ascii="Times New Roman" w:eastAsia="宋体" w:hAnsi="Times New Roman"/>
                <w:kern w:val="2"/>
                <w:sz w:val="21"/>
                <w:lang w:val="en-US" w:eastAsia="zh-CN"/>
              </w:rPr>
              <w:t xml:space="preserve">ve BWP of the scheduling cell before slot </w:t>
            </w:r>
            <w:proofErr w:type="spellStart"/>
            <w:r>
              <w:rPr>
                <w:rFonts w:ascii="Times New Roman" w:eastAsia="宋体" w:hAnsi="Times New Roman"/>
                <w:kern w:val="2"/>
                <w:sz w:val="21"/>
                <w:lang w:val="en-US" w:eastAsia="zh-CN"/>
              </w:rPr>
              <w:t>n+X</w:t>
            </w:r>
            <w:proofErr w:type="spellEnd"/>
            <w:r>
              <w:rPr>
                <w:rFonts w:ascii="Times New Roman" w:eastAsia="宋体" w:hAnsi="Times New Roman"/>
                <w:kern w:val="2"/>
                <w:sz w:val="21"/>
                <w:lang w:val="en-US" w:eastAsia="zh-CN"/>
              </w:rPr>
              <w:t xml:space="preserve"> of the scheduling cell, where X is the value of the application delay.</w:t>
            </w:r>
          </w:p>
        </w:tc>
      </w:tr>
      <w:tr w:rsidR="00395ABF">
        <w:tc>
          <w:tcPr>
            <w:tcW w:w="9876" w:type="dxa"/>
          </w:tcPr>
          <w:p w:rsidR="00395ABF" w:rsidRDefault="00A57E59">
            <w:pPr>
              <w:spacing w:before="120" w:after="120" w:line="280" w:lineRule="atLeast"/>
            </w:pPr>
            <w:r>
              <w:rPr>
                <w:rFonts w:hint="eastAsia"/>
              </w:rPr>
              <w:t>TS 38.213 v17.2</w:t>
            </w:r>
          </w:p>
          <w:p w:rsidR="00395ABF" w:rsidRDefault="00A57E59">
            <w:pPr>
              <w:pStyle w:val="2"/>
              <w:numPr>
                <w:ilvl w:val="1"/>
                <w:numId w:val="0"/>
              </w:numPr>
              <w:spacing w:before="120" w:after="120"/>
              <w:ind w:right="210"/>
              <w:outlineLvl w:val="1"/>
            </w:pPr>
            <w:r>
              <w:t>10.4</w:t>
            </w:r>
            <w:r>
              <w:tab/>
              <w:t>Search space set group switching and skipping of PDCCH monitoring</w:t>
            </w:r>
          </w:p>
          <w:p w:rsidR="00395ABF" w:rsidRDefault="00A57E59">
            <w:pPr>
              <w:spacing w:before="120" w:after="120" w:line="280" w:lineRule="atLeast"/>
            </w:pPr>
            <w:r>
              <w:rPr>
                <w:rFonts w:hint="eastAsia"/>
              </w:rPr>
              <w:t>...</w:t>
            </w:r>
          </w:p>
          <w:p w:rsidR="00395ABF" w:rsidRDefault="00A57E59">
            <w:pPr>
              <w:spacing w:before="120" w:after="120"/>
            </w:pPr>
            <w:r>
              <w:t>When a UE receives</w:t>
            </w:r>
          </w:p>
          <w:p w:rsidR="00395ABF" w:rsidRDefault="00A57E59">
            <w:pPr>
              <w:pStyle w:val="B1"/>
              <w:spacing w:before="120" w:after="120"/>
            </w:pPr>
            <w:r>
              <w:rPr>
                <w:lang w:eastAsia="ko-KR"/>
              </w:rPr>
              <w:t>-</w:t>
            </w:r>
            <w:r>
              <w:rPr>
                <w:lang w:eastAsia="ko-KR"/>
              </w:rPr>
              <w:tab/>
              <w:t xml:space="preserve">a first PDCCH in a first slot that provides a DCI format with a PDCCH </w:t>
            </w:r>
            <w:r>
              <w:t xml:space="preserve">monitoring adaptation field having a first value indicating skipping PDCCH monitoring, or indicating start of PDCCH monitoring according to a search space sets with a first group index and stop of PDCCH monitoring according to search space sets with a second group index, for an active DL BWP and </w:t>
            </w:r>
          </w:p>
          <w:p w:rsidR="00395ABF" w:rsidRDefault="00A57E59">
            <w:pPr>
              <w:pStyle w:val="B1"/>
              <w:spacing w:before="120" w:after="120"/>
            </w:pPr>
            <w:r>
              <w:rPr>
                <w:lang w:eastAsia="ko-KR"/>
              </w:rPr>
              <w:t>-</w:t>
            </w:r>
            <w:r>
              <w:rPr>
                <w:lang w:eastAsia="ko-KR"/>
              </w:rPr>
              <w:tab/>
              <w:t xml:space="preserve">a second PDCCH that provides a DCI format with a PDCCH </w:t>
            </w:r>
            <w:r>
              <w:t xml:space="preserve">monitoring adaptation field having a second </w:t>
            </w:r>
            <w:r>
              <w:lastRenderedPageBreak/>
              <w:t>value indicating skipping PDCCH monitoring, or indicating start of PDCCH monitoring according to search space sets with a first group index and stop of PDCCH monitoring according to search space sets with a second group index different than the first group index, for the active DL BWP where the second PDCCH is received</w:t>
            </w:r>
          </w:p>
          <w:p w:rsidR="00395ABF" w:rsidRDefault="00A57E59">
            <w:pPr>
              <w:pStyle w:val="B2"/>
              <w:spacing w:before="120" w:after="120"/>
              <w:rPr>
                <w:lang w:val="en-US"/>
              </w:rPr>
            </w:pPr>
            <w:r>
              <w:rPr>
                <w:lang w:val="en-US" w:eastAsia="ko-KR"/>
              </w:rPr>
              <w:t>-</w:t>
            </w:r>
            <w:r>
              <w:rPr>
                <w:lang w:val="en-US" w:eastAsia="ko-KR"/>
              </w:rPr>
              <w:tab/>
              <w:t>in the first slot if the first value indicates skipping PDCCH monitoring</w:t>
            </w:r>
            <w:r>
              <w:rPr>
                <w:lang w:val="en-US"/>
              </w:rPr>
              <w:t xml:space="preserve"> </w:t>
            </w:r>
          </w:p>
          <w:p w:rsidR="00395ABF" w:rsidRDefault="00A57E59">
            <w:pPr>
              <w:pStyle w:val="B2"/>
              <w:spacing w:before="120" w:after="120"/>
              <w:rPr>
                <w:lang w:val="en-US"/>
              </w:rPr>
            </w:pPr>
            <w:r>
              <w:rPr>
                <w:lang w:val="en-US" w:eastAsia="ko-KR"/>
              </w:rPr>
              <w:t>-</w:t>
            </w:r>
            <w:r>
              <w:rPr>
                <w:lang w:val="en-US" w:eastAsia="ko-KR"/>
              </w:rPr>
              <w:tab/>
              <w:t xml:space="preserve">before a slot that is at least </w:t>
            </w:r>
            <m:oMath>
              <m:sSub>
                <m:sSubPr>
                  <m:ctrlPr>
                    <w:rPr>
                      <w:rFonts w:ascii="Cambria Math" w:hAnsi="Cambria Math"/>
                      <w:i/>
                    </w:rPr>
                  </m:ctrlPr>
                </m:sSubPr>
                <m:e>
                  <m:r>
                    <w:rPr>
                      <w:rFonts w:ascii="Cambria Math" w:hAnsi="Cambria Math"/>
                    </w:rPr>
                    <m:t>P</m:t>
                  </m:r>
                </m:e>
                <m:sub>
                  <m:r>
                    <w:rPr>
                      <w:rFonts w:ascii="Cambria Math" w:hAnsi="Cambria Math"/>
                    </w:rPr>
                    <m:t>switc</m:t>
                  </m:r>
                  <m:r>
                    <w:rPr>
                      <w:rFonts w:ascii="Cambria Math" w:hAnsi="Cambria Math"/>
                      <w:lang w:val="en-US"/>
                    </w:rPr>
                    <m:t>h</m:t>
                  </m:r>
                </m:sub>
              </m:sSub>
            </m:oMath>
            <w:r>
              <w:rPr>
                <w:lang w:val="en-US"/>
              </w:rPr>
              <w:t xml:space="preserve"> symbols</w:t>
            </w:r>
            <w:r>
              <w:rPr>
                <w:lang w:val="en-US" w:eastAsia="ko-KR"/>
              </w:rPr>
              <w:t xml:space="preserve"> after the first slot if the first value indicates </w:t>
            </w:r>
            <w:r>
              <w:rPr>
                <w:lang w:val="en-US"/>
              </w:rPr>
              <w:t>start of PDCCH monitoring according to search space sets with a first group index</w:t>
            </w:r>
          </w:p>
          <w:p w:rsidR="00395ABF" w:rsidRDefault="00A57E59">
            <w:pPr>
              <w:spacing w:before="120" w:after="120"/>
            </w:pPr>
            <w:r>
              <w:t>the UE does not expect the second value to be different than the first value.</w:t>
            </w:r>
          </w:p>
        </w:tc>
      </w:tr>
    </w:tbl>
    <w:p w:rsidR="00395ABF" w:rsidRDefault="00395ABF">
      <w:pPr>
        <w:pStyle w:val="CRCoverPage"/>
        <w:spacing w:after="0"/>
        <w:rPr>
          <w:lang w:val="en-US" w:eastAsia="zh-CN"/>
        </w:rPr>
      </w:pPr>
    </w:p>
    <w:p w:rsidR="00395ABF" w:rsidRDefault="00A57E59">
      <w:pPr>
        <w:spacing w:before="120" w:after="120"/>
      </w:pPr>
      <w:r>
        <w:rPr>
          <w:rFonts w:hint="eastAsia"/>
        </w:rPr>
        <w:t xml:space="preserve">The purpose of the agreements is to </w:t>
      </w:r>
      <w:r>
        <w:t xml:space="preserve">prevent </w:t>
      </w:r>
      <w:r>
        <w:rPr>
          <w:rFonts w:hint="eastAsia"/>
        </w:rPr>
        <w:t xml:space="preserve">UE from receiving inconsistent indication during application delay. However, the case that UE receives one indication of </w:t>
      </w:r>
      <w:r>
        <w:t>“</w:t>
      </w:r>
      <w:r>
        <w:rPr>
          <w:rFonts w:hint="eastAsia"/>
        </w:rPr>
        <w:t>no skipping in PDCCH monitoring</w:t>
      </w:r>
      <w:r>
        <w:t>”</w:t>
      </w:r>
      <w:r>
        <w:rPr>
          <w:rFonts w:hint="eastAsia"/>
        </w:rPr>
        <w:t xml:space="preserve"> and another indication of </w:t>
      </w:r>
      <w:r>
        <w:t>“</w:t>
      </w:r>
      <w:r>
        <w:rPr>
          <w:rFonts w:hint="eastAsia"/>
        </w:rPr>
        <w:t>skipping for a duration</w:t>
      </w:r>
      <w:r>
        <w:t>”</w:t>
      </w:r>
      <w:r>
        <w:rPr>
          <w:rFonts w:hint="eastAsia"/>
        </w:rPr>
        <w:t xml:space="preserve"> in one slot, cannot be handled with current description. If UE receives a </w:t>
      </w:r>
      <w:r>
        <w:t>“</w:t>
      </w:r>
      <w:r>
        <w:rPr>
          <w:rFonts w:hint="eastAsia"/>
        </w:rPr>
        <w:t>no skipping in PDCCH monitoring</w:t>
      </w:r>
      <w:r>
        <w:t>”</w:t>
      </w:r>
      <w:r>
        <w:rPr>
          <w:rFonts w:hint="eastAsia"/>
        </w:rPr>
        <w:t xml:space="preserve"> indication after a </w:t>
      </w:r>
      <w:r>
        <w:t>“</w:t>
      </w:r>
      <w:r>
        <w:rPr>
          <w:rFonts w:hint="eastAsia"/>
        </w:rPr>
        <w:t>skipping for a duration</w:t>
      </w:r>
      <w:r>
        <w:t>”</w:t>
      </w:r>
      <w:r>
        <w:rPr>
          <w:rFonts w:hint="eastAsia"/>
        </w:rPr>
        <w:t xml:space="preserve"> indication and these two indications are received in a same slot, UE does not know how to perform PDCCH monitoring. Therefore, the UE behaviors of this case should be clarified. </w:t>
      </w:r>
    </w:p>
    <w:p w:rsidR="00395ABF" w:rsidRDefault="00A57E59">
      <w:pPr>
        <w:pStyle w:val="YJ-Proposal"/>
        <w:spacing w:before="120" w:after="120"/>
        <w:rPr>
          <w:lang w:val="en-US" w:eastAsia="zh-CN"/>
        </w:rPr>
      </w:pPr>
      <w:bookmarkStart w:id="1" w:name="_Toc29814"/>
      <w:bookmarkStart w:id="2" w:name="_Toc24119"/>
      <w:bookmarkStart w:id="3" w:name="_Toc22273"/>
      <w:r>
        <w:rPr>
          <w:i w:val="0"/>
          <w:iCs w:val="0"/>
          <w:lang w:eastAsia="zh-CN"/>
        </w:rPr>
        <w:t xml:space="preserve">The </w:t>
      </w:r>
      <w:r>
        <w:rPr>
          <w:rFonts w:hint="eastAsia"/>
          <w:i w:val="0"/>
          <w:iCs w:val="0"/>
          <w:lang w:val="en-US" w:eastAsia="zh-CN"/>
        </w:rPr>
        <w:t>following t</w:t>
      </w:r>
      <w:proofErr w:type="spellStart"/>
      <w:r>
        <w:rPr>
          <w:i w:val="0"/>
          <w:iCs w:val="0"/>
          <w:lang w:eastAsia="zh-CN"/>
        </w:rPr>
        <w:t>ext</w:t>
      </w:r>
      <w:proofErr w:type="spellEnd"/>
      <w:r>
        <w:rPr>
          <w:i w:val="0"/>
          <w:iCs w:val="0"/>
          <w:lang w:eastAsia="zh-CN"/>
        </w:rPr>
        <w:t xml:space="preserve"> </w:t>
      </w:r>
      <w:r>
        <w:rPr>
          <w:i w:val="0"/>
          <w:iCs w:val="0"/>
          <w:lang w:val="en-US" w:eastAsia="zh-CN"/>
        </w:rPr>
        <w:t>should be adopted</w:t>
      </w:r>
      <w:bookmarkEnd w:id="1"/>
      <w:bookmarkEnd w:id="2"/>
      <w:r>
        <w:rPr>
          <w:i w:val="0"/>
          <w:iCs w:val="0"/>
          <w:lang w:val="en-US" w:eastAsia="zh-CN"/>
        </w:rPr>
        <w:t>.</w:t>
      </w:r>
      <w:bookmarkEnd w:id="3"/>
    </w:p>
    <w:tbl>
      <w:tblPr>
        <w:tblStyle w:val="af0"/>
        <w:tblW w:w="0" w:type="auto"/>
        <w:tblLook w:val="04A0" w:firstRow="1" w:lastRow="0" w:firstColumn="1" w:lastColumn="0" w:noHBand="0" w:noVBand="1"/>
      </w:tblPr>
      <w:tblGrid>
        <w:gridCol w:w="9650"/>
      </w:tblGrid>
      <w:tr w:rsidR="00395ABF">
        <w:tc>
          <w:tcPr>
            <w:tcW w:w="9876" w:type="dxa"/>
          </w:tcPr>
          <w:p w:rsidR="00395ABF" w:rsidRDefault="00A57E59">
            <w:pPr>
              <w:spacing w:before="120" w:after="120"/>
              <w:jc w:val="center"/>
              <w:rPr>
                <w:b/>
                <w:color w:val="FF0000"/>
                <w:sz w:val="20"/>
              </w:rPr>
            </w:pPr>
            <w:r>
              <w:rPr>
                <w:b/>
                <w:color w:val="FF0000"/>
                <w:sz w:val="20"/>
              </w:rPr>
              <w:t>&lt;Unchanged parts are omitted&gt;</w:t>
            </w:r>
          </w:p>
          <w:p w:rsidR="00395ABF" w:rsidRDefault="00A57E59">
            <w:pPr>
              <w:spacing w:before="120" w:after="120"/>
            </w:pPr>
            <w:r>
              <w:t>When a UE receives</w:t>
            </w:r>
          </w:p>
          <w:p w:rsidR="00395ABF" w:rsidRDefault="00A57E59">
            <w:pPr>
              <w:pStyle w:val="B1"/>
              <w:spacing w:before="120" w:after="120"/>
            </w:pPr>
            <w:r>
              <w:rPr>
                <w:lang w:eastAsia="ko-KR"/>
              </w:rPr>
              <w:t>-</w:t>
            </w:r>
            <w:r>
              <w:rPr>
                <w:lang w:eastAsia="ko-KR"/>
              </w:rPr>
              <w:tab/>
              <w:t xml:space="preserve">a first PDCCH in a first slot that provides a DCI format with a PDCCH </w:t>
            </w:r>
            <w:r>
              <w:t xml:space="preserve">monitoring adaptation field having a first value indicating skipping PDCCH monitoring, or indicating start of PDCCH monitoring according to a search space sets with a first group index and stop of PDCCH monitoring according to search space sets with a second group index, for an active DL BWP and </w:t>
            </w:r>
          </w:p>
          <w:p w:rsidR="00395ABF" w:rsidRDefault="00A57E59">
            <w:pPr>
              <w:pStyle w:val="B1"/>
              <w:spacing w:before="120" w:after="120"/>
            </w:pPr>
            <w:r>
              <w:rPr>
                <w:lang w:eastAsia="ko-KR"/>
              </w:rPr>
              <w:t>-</w:t>
            </w:r>
            <w:r>
              <w:rPr>
                <w:lang w:eastAsia="ko-KR"/>
              </w:rPr>
              <w:tab/>
              <w:t xml:space="preserve">a second PDCCH that provides a DCI format with a PDCCH </w:t>
            </w:r>
            <w:r>
              <w:t>monitoring adaptation field having a second value indicating skipping PDCCH monitoring</w:t>
            </w:r>
            <w:r>
              <w:rPr>
                <w:rFonts w:hint="eastAsia"/>
                <w:color w:val="FF0000"/>
              </w:rPr>
              <w:t xml:space="preserve">, or </w:t>
            </w:r>
            <w:r>
              <w:rPr>
                <w:color w:val="FF0000"/>
              </w:rPr>
              <w:t xml:space="preserve">indicating </w:t>
            </w:r>
            <w:r>
              <w:rPr>
                <w:rFonts w:hint="eastAsia"/>
                <w:color w:val="FF0000"/>
              </w:rPr>
              <w:t>no skipping in PDCCH monitoring</w:t>
            </w:r>
            <w:r>
              <w:t>, or indicating start of PDCCH monitoring according to search space sets with a first group index and stop of PDCCH monitoring according to search space sets with a second group index different than the first group index, for the active DL BWP where the second PDCCH is received</w:t>
            </w:r>
          </w:p>
          <w:p w:rsidR="00395ABF" w:rsidRDefault="00A57E59">
            <w:pPr>
              <w:pStyle w:val="B2"/>
              <w:spacing w:before="120" w:after="120"/>
              <w:rPr>
                <w:lang w:val="en-US"/>
              </w:rPr>
            </w:pPr>
            <w:r>
              <w:rPr>
                <w:lang w:val="en-US" w:eastAsia="ko-KR"/>
              </w:rPr>
              <w:t>-</w:t>
            </w:r>
            <w:r>
              <w:rPr>
                <w:lang w:val="en-US" w:eastAsia="ko-KR"/>
              </w:rPr>
              <w:tab/>
              <w:t>in the first slot if the first value indicates skipping PDCCH monitoring</w:t>
            </w:r>
            <w:r>
              <w:rPr>
                <w:lang w:val="en-US"/>
              </w:rPr>
              <w:t xml:space="preserve"> </w:t>
            </w:r>
          </w:p>
          <w:p w:rsidR="00395ABF" w:rsidRDefault="00A57E59">
            <w:pPr>
              <w:pStyle w:val="B2"/>
              <w:spacing w:before="120" w:after="120"/>
              <w:rPr>
                <w:lang w:val="en-US"/>
              </w:rPr>
            </w:pPr>
            <w:r>
              <w:rPr>
                <w:lang w:val="en-US" w:eastAsia="ko-KR"/>
              </w:rPr>
              <w:t>-</w:t>
            </w:r>
            <w:r>
              <w:rPr>
                <w:lang w:val="en-US" w:eastAsia="ko-KR"/>
              </w:rPr>
              <w:tab/>
              <w:t xml:space="preserve">before a slot that is at least </w:t>
            </w:r>
            <m:oMath>
              <m:sSub>
                <m:sSubPr>
                  <m:ctrlPr>
                    <w:rPr>
                      <w:rFonts w:ascii="Cambria Math" w:hAnsi="Cambria Math"/>
                      <w:i/>
                    </w:rPr>
                  </m:ctrlPr>
                </m:sSubPr>
                <m:e>
                  <m:r>
                    <w:rPr>
                      <w:rFonts w:ascii="Cambria Math" w:hAnsi="Cambria Math"/>
                    </w:rPr>
                    <m:t>P</m:t>
                  </m:r>
                </m:e>
                <m:sub>
                  <m:r>
                    <w:rPr>
                      <w:rFonts w:ascii="Cambria Math" w:hAnsi="Cambria Math"/>
                    </w:rPr>
                    <m:t>switc</m:t>
                  </m:r>
                  <m:r>
                    <w:rPr>
                      <w:rFonts w:ascii="Cambria Math" w:hAnsi="Cambria Math"/>
                      <w:lang w:val="en-US"/>
                    </w:rPr>
                    <m:t>h</m:t>
                  </m:r>
                </m:sub>
              </m:sSub>
            </m:oMath>
            <w:r>
              <w:rPr>
                <w:lang w:val="en-US"/>
              </w:rPr>
              <w:t xml:space="preserve"> symbols</w:t>
            </w:r>
            <w:r>
              <w:rPr>
                <w:lang w:val="en-US" w:eastAsia="ko-KR"/>
              </w:rPr>
              <w:t xml:space="preserve"> after the first slot if the first value indicates </w:t>
            </w:r>
            <w:r>
              <w:rPr>
                <w:lang w:val="en-US"/>
              </w:rPr>
              <w:t>start of PDCCH monitoring according to search space sets with a first group index</w:t>
            </w:r>
          </w:p>
          <w:p w:rsidR="00395ABF" w:rsidRDefault="00A57E59">
            <w:pPr>
              <w:spacing w:before="120" w:after="120"/>
              <w:rPr>
                <w:b/>
                <w:color w:val="FF0000"/>
                <w:sz w:val="20"/>
              </w:rPr>
            </w:pPr>
            <w:r>
              <w:t>the UE does not expect the second value to be different than the first value.</w:t>
            </w:r>
          </w:p>
          <w:p w:rsidR="00395ABF" w:rsidRDefault="00A57E59">
            <w:pPr>
              <w:spacing w:before="120" w:after="120"/>
              <w:jc w:val="center"/>
              <w:rPr>
                <w:b/>
                <w:color w:val="FF0000"/>
                <w:sz w:val="20"/>
              </w:rPr>
            </w:pPr>
            <w:r>
              <w:rPr>
                <w:b/>
                <w:color w:val="FF0000"/>
                <w:sz w:val="20"/>
              </w:rPr>
              <w:t>&lt;Unchanged parts are omitted&gt;</w:t>
            </w:r>
          </w:p>
        </w:tc>
      </w:tr>
    </w:tbl>
    <w:p w:rsidR="00395ABF" w:rsidRDefault="00395ABF">
      <w:pPr>
        <w:spacing w:before="120" w:after="120"/>
      </w:pPr>
    </w:p>
    <w:p w:rsidR="00395ABF" w:rsidRDefault="00395ABF">
      <w:pPr>
        <w:spacing w:before="120" w:after="120"/>
      </w:pPr>
    </w:p>
    <w:p w:rsidR="00395ABF" w:rsidRDefault="00A57E59">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Conclusion</w:t>
      </w:r>
    </w:p>
    <w:p w:rsidR="00395ABF" w:rsidRDefault="00A57E59">
      <w:pPr>
        <w:spacing w:before="120" w:after="120"/>
      </w:pPr>
      <w:r>
        <w:rPr>
          <w:rFonts w:hint="eastAsia"/>
        </w:rPr>
        <w:t xml:space="preserve">In this contribution, we discuss the </w:t>
      </w:r>
      <w:r>
        <w:t xml:space="preserve">remaining issues of </w:t>
      </w:r>
      <w:r>
        <w:rPr>
          <w:rFonts w:hint="eastAsia"/>
        </w:rPr>
        <w:t>Rel-17 UE power saving</w:t>
      </w:r>
      <w:r>
        <w:t xml:space="preserve"> and</w:t>
      </w:r>
      <w:r>
        <w:rPr>
          <w:rFonts w:hint="eastAsia"/>
        </w:rPr>
        <w:t xml:space="preserve"> have the following proposals.</w:t>
      </w:r>
    </w:p>
    <w:p w:rsidR="00395ABF" w:rsidRDefault="00A57E59">
      <w:pPr>
        <w:pStyle w:val="TOC1"/>
        <w:tabs>
          <w:tab w:val="clear" w:pos="0"/>
          <w:tab w:val="right" w:leader="dot" w:pos="9660"/>
        </w:tabs>
        <w:spacing w:before="120" w:after="120"/>
        <w:rPr>
          <w:szCs w:val="21"/>
        </w:rPr>
      </w:pPr>
      <w:r>
        <w:rPr>
          <w:iCs w:val="0"/>
          <w:szCs w:val="21"/>
        </w:rPr>
        <w:fldChar w:fldCharType="begin"/>
      </w:r>
      <w:r>
        <w:rPr>
          <w:iCs w:val="0"/>
          <w:szCs w:val="21"/>
        </w:rPr>
        <w:instrText>TOC \n  \t "YJ-Proposal,1,sub-proposal,2,3rd level proposal,3" \h</w:instrText>
      </w:r>
      <w:r>
        <w:rPr>
          <w:iCs w:val="0"/>
          <w:szCs w:val="21"/>
        </w:rPr>
        <w:fldChar w:fldCharType="separate"/>
      </w:r>
      <w:hyperlink w:anchor="_Toc12189" w:history="1">
        <w:r>
          <w:rPr>
            <w:rFonts w:eastAsia="宋体"/>
            <w:i w:val="0"/>
            <w:iCs w:val="0"/>
          </w:rPr>
          <w:t xml:space="preserve">Proposal 1: </w:t>
        </w:r>
        <w:r>
          <w:rPr>
            <w:i w:val="0"/>
            <w:iCs w:val="0"/>
          </w:rPr>
          <w:t xml:space="preserve">The </w:t>
        </w:r>
        <w:r>
          <w:rPr>
            <w:rFonts w:hint="eastAsia"/>
            <w:i w:val="0"/>
            <w:iCs w:val="0"/>
          </w:rPr>
          <w:t>following t</w:t>
        </w:r>
        <w:r>
          <w:rPr>
            <w:i w:val="0"/>
            <w:iCs w:val="0"/>
          </w:rPr>
          <w:t>ext should be adopted.</w:t>
        </w:r>
      </w:hyperlink>
    </w:p>
    <w:tbl>
      <w:tblPr>
        <w:tblStyle w:val="af0"/>
        <w:tblW w:w="5000" w:type="pct"/>
        <w:tblLook w:val="04A0" w:firstRow="1" w:lastRow="0" w:firstColumn="1" w:lastColumn="0" w:noHBand="0" w:noVBand="1"/>
      </w:tblPr>
      <w:tblGrid>
        <w:gridCol w:w="9650"/>
      </w:tblGrid>
      <w:tr w:rsidR="00395ABF">
        <w:tc>
          <w:tcPr>
            <w:tcW w:w="5000" w:type="pct"/>
          </w:tcPr>
          <w:p w:rsidR="00395ABF" w:rsidRDefault="00A57E59">
            <w:pPr>
              <w:spacing w:before="120" w:after="120"/>
            </w:pPr>
            <w:r>
              <w:rPr>
                <w:rFonts w:hint="eastAsia"/>
              </w:rPr>
              <w:t>TS 38.213</w:t>
            </w:r>
          </w:p>
          <w:p w:rsidR="00395ABF" w:rsidRDefault="00A57E59">
            <w:pPr>
              <w:spacing w:before="120" w:after="120"/>
              <w:jc w:val="center"/>
            </w:pPr>
            <w:r>
              <w:rPr>
                <w:b/>
                <w:color w:val="FF0000"/>
                <w:sz w:val="20"/>
              </w:rPr>
              <w:lastRenderedPageBreak/>
              <w:t>&lt;Unchanged parts are omitted&gt;</w:t>
            </w:r>
          </w:p>
          <w:p w:rsidR="00395ABF" w:rsidRDefault="00A57E59">
            <w:pPr>
              <w:spacing w:before="120" w:after="120"/>
              <w:rPr>
                <w:lang w:eastAsia="ja-JP"/>
              </w:rPr>
            </w:pPr>
            <w:r>
              <w:rPr>
                <w:lang w:eastAsia="ja-JP"/>
              </w:rPr>
              <w:t>10.4</w:t>
            </w:r>
            <w:r>
              <w:rPr>
                <w:lang w:eastAsia="ja-JP"/>
              </w:rPr>
              <w:tab/>
              <w:t>Search space set group switching and skipping of PDCCH monitoring</w:t>
            </w:r>
          </w:p>
          <w:p w:rsidR="00395ABF" w:rsidRDefault="00A57E59">
            <w:pPr>
              <w:spacing w:before="120" w:after="120"/>
              <w:rPr>
                <w:color w:val="FF0000"/>
              </w:rPr>
            </w:pPr>
            <w:r>
              <w:t xml:space="preserve">When the PDCCH monitoring adaptation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 If the UE transmits a PUCCH providing a positive SR after the UE detects a DCI format providing the PDCCH monitoring adaptation field indicating to the UE to skip PDCCH monitoring for the duration on the active DL BWP of the serving cell, the UE resumes PDCCH monitoring starting at the beginning of a first slot that is after a last symbol of the PUCCH transmission. During the time of </w:t>
            </w:r>
            <w:r>
              <w:rPr>
                <w:i/>
                <w:iCs/>
              </w:rPr>
              <w:t>ra-ResponseWindow</w:t>
            </w:r>
            <w:r>
              <w:t xml:space="preserve"> or </w:t>
            </w:r>
            <w:r>
              <w:rPr>
                <w:i/>
                <w:iCs/>
              </w:rPr>
              <w:t>msgB-ResponseWindow</w:t>
            </w:r>
            <w:r>
              <w:t xml:space="preserve"> or the duration where </w:t>
            </w:r>
            <w:r>
              <w:rPr>
                <w:i/>
                <w:iCs/>
              </w:rPr>
              <w:t>ra-ContentionResolutionTimer</w:t>
            </w:r>
            <w:r>
              <w:t xml:space="preserve"> is running, the UE shall not skip PDCCH monitoring on SpCell. If the DRX group of the serving cell is configured and enters outside Active Time, the UE terminates PDCCH skipping for the serving cell.</w:t>
            </w:r>
            <w:r>
              <w:rPr>
                <w:rFonts w:hint="eastAsia"/>
              </w:rPr>
              <w:t xml:space="preserve"> </w:t>
            </w:r>
            <w:r>
              <w:rPr>
                <w:rFonts w:hint="eastAsia"/>
                <w:color w:val="FF0000"/>
              </w:rPr>
              <w:t xml:space="preserve">If UE </w:t>
            </w:r>
            <w:r>
              <w:rPr>
                <w:color w:val="FF0000"/>
              </w:rPr>
              <w:t>detect</w:t>
            </w:r>
            <w:r>
              <w:rPr>
                <w:rFonts w:hint="eastAsia"/>
                <w:color w:val="FF0000"/>
              </w:rPr>
              <w:t>s</w:t>
            </w:r>
            <w:r>
              <w:rPr>
                <w:color w:val="FF0000"/>
              </w:rPr>
              <w:t xml:space="preserve"> a DCI format 1_0 with CRC scrambled by a corresponding TC-RNTI scheduling a PDSCH that includes a UE contention resolution identity</w:t>
            </w:r>
            <w:r>
              <w:rPr>
                <w:rFonts w:hint="eastAsia"/>
                <w:color w:val="FF0000"/>
              </w:rPr>
              <w:t xml:space="preserve"> after a PUSCH transmission scheduled by a RAR UL grant when a UE has not been provided a C-RNTI, </w:t>
            </w:r>
            <w:r>
              <w:rPr>
                <w:color w:val="FF0000"/>
              </w:rPr>
              <w:t xml:space="preserve">the UE terminates PDCCH skipping </w:t>
            </w:r>
            <w:r>
              <w:rPr>
                <w:rFonts w:hint="eastAsia"/>
                <w:color w:val="FF0000"/>
              </w:rPr>
              <w:t>on SpCell.</w:t>
            </w:r>
          </w:p>
          <w:p w:rsidR="00395ABF" w:rsidRDefault="00A57E59">
            <w:pPr>
              <w:spacing w:before="120" w:after="120"/>
              <w:jc w:val="center"/>
              <w:rPr>
                <w:color w:val="FF0000"/>
              </w:rPr>
            </w:pPr>
            <w:r>
              <w:rPr>
                <w:b/>
                <w:color w:val="FF0000"/>
                <w:sz w:val="20"/>
              </w:rPr>
              <w:t>&lt;Unchanged parts are omitted&gt;</w:t>
            </w:r>
          </w:p>
        </w:tc>
      </w:tr>
    </w:tbl>
    <w:p w:rsidR="00395ABF" w:rsidRDefault="00395ABF">
      <w:pPr>
        <w:spacing w:before="120" w:after="120"/>
      </w:pPr>
    </w:p>
    <w:p w:rsidR="00395ABF" w:rsidRDefault="004E1A68">
      <w:pPr>
        <w:pStyle w:val="TOC1"/>
        <w:tabs>
          <w:tab w:val="clear" w:pos="0"/>
          <w:tab w:val="right" w:leader="dot" w:pos="9660"/>
        </w:tabs>
        <w:spacing w:before="120" w:after="120"/>
        <w:rPr>
          <w:szCs w:val="21"/>
        </w:rPr>
      </w:pPr>
      <w:hyperlink w:anchor="_Toc22273" w:history="1">
        <w:r w:rsidR="00A57E59">
          <w:rPr>
            <w:rFonts w:eastAsia="宋体"/>
            <w:i w:val="0"/>
            <w:iCs w:val="0"/>
          </w:rPr>
          <w:t xml:space="preserve">Proposal 2: </w:t>
        </w:r>
        <w:r w:rsidR="00A57E59">
          <w:rPr>
            <w:i w:val="0"/>
            <w:iCs w:val="0"/>
          </w:rPr>
          <w:t xml:space="preserve">The </w:t>
        </w:r>
        <w:r w:rsidR="00A57E59">
          <w:rPr>
            <w:rFonts w:hint="eastAsia"/>
            <w:i w:val="0"/>
            <w:iCs w:val="0"/>
          </w:rPr>
          <w:t>following t</w:t>
        </w:r>
        <w:r w:rsidR="00A57E59">
          <w:rPr>
            <w:i w:val="0"/>
            <w:iCs w:val="0"/>
          </w:rPr>
          <w:t>ext should be adopted.</w:t>
        </w:r>
      </w:hyperlink>
    </w:p>
    <w:tbl>
      <w:tblPr>
        <w:tblStyle w:val="af0"/>
        <w:tblW w:w="0" w:type="auto"/>
        <w:tblLook w:val="04A0" w:firstRow="1" w:lastRow="0" w:firstColumn="1" w:lastColumn="0" w:noHBand="0" w:noVBand="1"/>
      </w:tblPr>
      <w:tblGrid>
        <w:gridCol w:w="9650"/>
      </w:tblGrid>
      <w:tr w:rsidR="00395ABF">
        <w:tc>
          <w:tcPr>
            <w:tcW w:w="9876" w:type="dxa"/>
          </w:tcPr>
          <w:p w:rsidR="00395ABF" w:rsidRDefault="00A57E59">
            <w:pPr>
              <w:spacing w:before="120" w:after="120"/>
              <w:jc w:val="center"/>
              <w:rPr>
                <w:b/>
                <w:color w:val="FF0000"/>
                <w:sz w:val="20"/>
              </w:rPr>
            </w:pPr>
            <w:r>
              <w:rPr>
                <w:b/>
                <w:color w:val="FF0000"/>
                <w:sz w:val="20"/>
              </w:rPr>
              <w:t>&lt;Unchanged parts are omitted&gt;</w:t>
            </w:r>
          </w:p>
          <w:p w:rsidR="00395ABF" w:rsidRDefault="00A57E59">
            <w:pPr>
              <w:spacing w:before="120" w:after="120"/>
            </w:pPr>
            <w:r>
              <w:t>When a UE receives</w:t>
            </w:r>
          </w:p>
          <w:p w:rsidR="00395ABF" w:rsidRDefault="00A57E59">
            <w:pPr>
              <w:pStyle w:val="B1"/>
              <w:spacing w:before="120" w:after="120"/>
            </w:pPr>
            <w:r>
              <w:rPr>
                <w:lang w:eastAsia="ko-KR"/>
              </w:rPr>
              <w:t>-</w:t>
            </w:r>
            <w:r>
              <w:rPr>
                <w:lang w:eastAsia="ko-KR"/>
              </w:rPr>
              <w:tab/>
              <w:t xml:space="preserve">a first PDCCH in a first slot that provides a DCI format with a PDCCH </w:t>
            </w:r>
            <w:r>
              <w:t xml:space="preserve">monitoring adaptation field having a first value indicating skipping PDCCH monitoring, or indicating start of PDCCH monitoring according to a search space sets with a first group index and stop of PDCCH monitoring according to search space sets with a second group index, for an active DL BWP and </w:t>
            </w:r>
          </w:p>
          <w:p w:rsidR="00395ABF" w:rsidRDefault="00A57E59">
            <w:pPr>
              <w:pStyle w:val="B1"/>
              <w:spacing w:before="120" w:after="120"/>
            </w:pPr>
            <w:r>
              <w:rPr>
                <w:lang w:eastAsia="ko-KR"/>
              </w:rPr>
              <w:t>-</w:t>
            </w:r>
            <w:r>
              <w:rPr>
                <w:lang w:eastAsia="ko-KR"/>
              </w:rPr>
              <w:tab/>
              <w:t xml:space="preserve">a second PDCCH that provides a DCI format with a PDCCH </w:t>
            </w:r>
            <w:r>
              <w:t>monitoring adaptation field having a second value indicating skipping PDCCH monitoring</w:t>
            </w:r>
            <w:r>
              <w:rPr>
                <w:rFonts w:hint="eastAsia"/>
                <w:color w:val="FF0000"/>
              </w:rPr>
              <w:t xml:space="preserve">, or </w:t>
            </w:r>
            <w:r>
              <w:rPr>
                <w:color w:val="FF0000"/>
              </w:rPr>
              <w:t xml:space="preserve">indicating </w:t>
            </w:r>
            <w:r>
              <w:rPr>
                <w:rFonts w:hint="eastAsia"/>
                <w:color w:val="FF0000"/>
              </w:rPr>
              <w:t>no skipping in PDCCH monitoring</w:t>
            </w:r>
            <w:r>
              <w:t>, or indicating start of PDCCH monitoring according to search space sets with a first group index and stop of PDCCH monitoring according to search space sets with a second group index different than the first group index, for the active DL BWP where the second PDCCH is received</w:t>
            </w:r>
          </w:p>
          <w:p w:rsidR="00395ABF" w:rsidRDefault="00A57E59">
            <w:pPr>
              <w:pStyle w:val="B2"/>
              <w:spacing w:before="120" w:after="120"/>
              <w:rPr>
                <w:lang w:val="en-US"/>
              </w:rPr>
            </w:pPr>
            <w:r>
              <w:rPr>
                <w:lang w:val="en-US" w:eastAsia="ko-KR"/>
              </w:rPr>
              <w:t>-</w:t>
            </w:r>
            <w:r>
              <w:rPr>
                <w:lang w:val="en-US" w:eastAsia="ko-KR"/>
              </w:rPr>
              <w:tab/>
              <w:t>in the first slot if the first value indicates skipping PDCCH monitoring</w:t>
            </w:r>
            <w:r>
              <w:rPr>
                <w:lang w:val="en-US"/>
              </w:rPr>
              <w:t xml:space="preserve"> </w:t>
            </w:r>
          </w:p>
          <w:p w:rsidR="00395ABF" w:rsidRDefault="00A57E59">
            <w:pPr>
              <w:pStyle w:val="B2"/>
              <w:spacing w:before="120" w:after="120"/>
              <w:rPr>
                <w:lang w:val="en-US"/>
              </w:rPr>
            </w:pPr>
            <w:r>
              <w:rPr>
                <w:lang w:val="en-US" w:eastAsia="ko-KR"/>
              </w:rPr>
              <w:t>-</w:t>
            </w:r>
            <w:r>
              <w:rPr>
                <w:lang w:val="en-US" w:eastAsia="ko-KR"/>
              </w:rPr>
              <w:tab/>
              <w:t xml:space="preserve">before a slot that is at least </w:t>
            </w:r>
            <m:oMath>
              <m:sSub>
                <m:sSubPr>
                  <m:ctrlPr>
                    <w:rPr>
                      <w:rFonts w:ascii="Cambria Math" w:hAnsi="Cambria Math"/>
                      <w:i/>
                    </w:rPr>
                  </m:ctrlPr>
                </m:sSubPr>
                <m:e>
                  <m:r>
                    <m:rPr>
                      <m:sty m:val="p"/>
                    </m:rPr>
                    <w:rPr>
                      <w:rFonts w:ascii="Cambria Math" w:hAnsi="Cambria Math"/>
                      <w:lang w:val="en-US"/>
                    </w:rPr>
                    <m:t>P</m:t>
                  </m:r>
                </m:e>
                <m:sub>
                  <m:r>
                    <m:rPr>
                      <m:sty m:val="p"/>
                    </m:rPr>
                    <w:rPr>
                      <w:rFonts w:ascii="Cambria Math" w:hAnsi="Cambria Math"/>
                      <w:lang w:val="en-US"/>
                    </w:rPr>
                    <m:t>switch</m:t>
                  </m:r>
                </m:sub>
              </m:sSub>
            </m:oMath>
            <w:r>
              <w:rPr>
                <w:lang w:val="en-US"/>
              </w:rPr>
              <w:t xml:space="preserve"> symbols</w:t>
            </w:r>
            <w:r>
              <w:rPr>
                <w:lang w:val="en-US" w:eastAsia="ko-KR"/>
              </w:rPr>
              <w:t xml:space="preserve"> after the first slot if the first value indicates </w:t>
            </w:r>
            <w:r>
              <w:rPr>
                <w:lang w:val="en-US"/>
              </w:rPr>
              <w:t>start of PDCCH monitoring according to search space sets with a first group index</w:t>
            </w:r>
          </w:p>
          <w:p w:rsidR="00395ABF" w:rsidRDefault="00A57E59">
            <w:pPr>
              <w:spacing w:before="120" w:after="120"/>
              <w:rPr>
                <w:b/>
                <w:color w:val="FF0000"/>
                <w:sz w:val="20"/>
              </w:rPr>
            </w:pPr>
            <w:r>
              <w:t>the UE does not expect the second value to be different than the first value.</w:t>
            </w:r>
          </w:p>
          <w:p w:rsidR="00395ABF" w:rsidRDefault="00A57E59">
            <w:pPr>
              <w:spacing w:before="120" w:after="120"/>
              <w:jc w:val="center"/>
              <w:rPr>
                <w:b/>
                <w:color w:val="FF0000"/>
                <w:sz w:val="20"/>
              </w:rPr>
            </w:pPr>
            <w:r>
              <w:rPr>
                <w:b/>
                <w:color w:val="FF0000"/>
                <w:sz w:val="20"/>
              </w:rPr>
              <w:t>&lt;Unchanged parts are omitted&gt;</w:t>
            </w:r>
          </w:p>
        </w:tc>
      </w:tr>
    </w:tbl>
    <w:p w:rsidR="00395ABF" w:rsidRDefault="00395ABF">
      <w:pPr>
        <w:spacing w:before="120" w:after="120"/>
      </w:pPr>
    </w:p>
    <w:p w:rsidR="00395ABF" w:rsidRDefault="00A57E59">
      <w:pPr>
        <w:spacing w:before="120" w:after="120"/>
      </w:pPr>
      <w:r>
        <w:rPr>
          <w:szCs w:val="21"/>
        </w:rPr>
        <w:fldChar w:fldCharType="end"/>
      </w:r>
    </w:p>
    <w:p w:rsidR="00395ABF" w:rsidRDefault="00A57E59">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References</w:t>
      </w:r>
    </w:p>
    <w:p w:rsidR="00395ABF" w:rsidRDefault="00A57E59">
      <w:pPr>
        <w:pStyle w:val="References"/>
        <w:spacing w:before="120" w:after="120"/>
        <w:rPr>
          <w:sz w:val="20"/>
          <w:szCs w:val="20"/>
        </w:rPr>
      </w:pPr>
      <w:r>
        <w:rPr>
          <w:rFonts w:hint="eastAsia"/>
          <w:sz w:val="20"/>
          <w:szCs w:val="20"/>
        </w:rPr>
        <w:t xml:space="preserve">TS 38.213 </w:t>
      </w:r>
      <w:r w:rsidR="00D03E1A">
        <w:rPr>
          <w:rFonts w:hint="eastAsia"/>
          <w:sz w:val="20"/>
          <w:szCs w:val="20"/>
        </w:rPr>
        <w:t>h</w:t>
      </w:r>
      <w:r w:rsidR="00D03E1A">
        <w:rPr>
          <w:sz w:val="20"/>
          <w:szCs w:val="20"/>
        </w:rPr>
        <w:t>4</w:t>
      </w:r>
      <w:r w:rsidR="00D03E1A">
        <w:rPr>
          <w:rFonts w:hint="eastAsia"/>
          <w:sz w:val="20"/>
          <w:szCs w:val="20"/>
        </w:rPr>
        <w:t>0</w:t>
      </w:r>
      <w:bookmarkStart w:id="4" w:name="_GoBack"/>
      <w:bookmarkEnd w:id="4"/>
    </w:p>
    <w:sectPr w:rsidR="00395ABF">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1A68" w:rsidRDefault="004E1A68">
      <w:pPr>
        <w:spacing w:before="120" w:after="120" w:line="240" w:lineRule="auto"/>
      </w:pPr>
      <w:r>
        <w:separator/>
      </w:r>
    </w:p>
  </w:endnote>
  <w:endnote w:type="continuationSeparator" w:id="0">
    <w:p w:rsidR="004E1A68" w:rsidRDefault="004E1A68">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5ABF" w:rsidRDefault="00395ABF">
    <w:pPr>
      <w:pStyle w:val="a8"/>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5ABF" w:rsidRDefault="00A57E59">
    <w:pPr>
      <w:pStyle w:val="a8"/>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395ABF" w:rsidRDefault="00A57E59">
                          <w:pPr>
                            <w:pStyle w:val="a8"/>
                            <w:spacing w:before="120" w:after="120"/>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10"/>
                      <w:spacing w:before="120" w:after="120"/>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5ABF" w:rsidRDefault="00395ABF">
    <w:pPr>
      <w:pStyle w:val="a8"/>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1A68" w:rsidRDefault="004E1A68">
      <w:pPr>
        <w:spacing w:before="120" w:after="120" w:line="240" w:lineRule="auto"/>
      </w:pPr>
      <w:r>
        <w:separator/>
      </w:r>
    </w:p>
  </w:footnote>
  <w:footnote w:type="continuationSeparator" w:id="0">
    <w:p w:rsidR="004E1A68" w:rsidRDefault="004E1A68">
      <w:pPr>
        <w:spacing w:before="120" w:after="12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5ABF" w:rsidRDefault="00395ABF">
    <w:pPr>
      <w:pStyle w:val="a9"/>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5ABF" w:rsidRDefault="00395ABF">
    <w:pPr>
      <w:pStyle w:val="a9"/>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5ABF" w:rsidRDefault="00395ABF">
    <w:pPr>
      <w:pStyle w:val="a9"/>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val="0"/>
        <w:iCs w:val="0"/>
        <w:sz w:val="21"/>
        <w:szCs w:val="21"/>
      </w:rPr>
    </w:lvl>
  </w:abstractNum>
  <w:abstractNum w:abstractNumId="1"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0BDD5F2B"/>
    <w:multiLevelType w:val="multilevel"/>
    <w:tmpl w:val="0BDD5F2B"/>
    <w:lvl w:ilvl="0">
      <w:start w:val="1"/>
      <w:numFmt w:val="decimal"/>
      <w:pStyle w:val="1"/>
      <w:suff w:val="nothing"/>
      <w:lvlText w:val="%1  "/>
      <w:lvlJc w:val="left"/>
      <w:pPr>
        <w:ind w:left="4962" w:firstLine="0"/>
      </w:pPr>
      <w:rPr>
        <w:rFonts w:ascii="Times New Roman" w:eastAsia="黑体" w:hAnsi="Times New Roman" w:cs="Times New Roman" w:hint="default"/>
        <w:b/>
        <w:bCs/>
        <w:i w:val="0"/>
        <w:sz w:val="24"/>
        <w:szCs w:val="24"/>
        <w:lang w:val="en-US"/>
      </w:rPr>
    </w:lvl>
    <w:lvl w:ilvl="1">
      <w:start w:val="1"/>
      <w:numFmt w:val="decimal"/>
      <w:pStyle w:val="2"/>
      <w:suff w:val="nothing"/>
      <w:lvlText w:val="%1.%2  "/>
      <w:lvlJc w:val="left"/>
      <w:pPr>
        <w:ind w:left="993" w:firstLine="0"/>
      </w:pPr>
      <w:rPr>
        <w:rFonts w:ascii="Times New Roman" w:hAnsi="Times New Roman" w:cs="Times New Roman" w:hint="default"/>
        <w:b/>
        <w:bCs/>
        <w:i w:val="0"/>
        <w:iCs w:val="0"/>
        <w:caps w:val="0"/>
        <w:smallCaps w:val="0"/>
        <w:strike w:val="0"/>
        <w:dstrike w:val="0"/>
        <w:vanish w:val="0"/>
        <w:color w:val="000000"/>
        <w:spacing w:val="0"/>
        <w:kern w:val="0"/>
        <w:position w:val="0"/>
        <w:sz w:val="22"/>
        <w:szCs w:val="22"/>
        <w:u w:val="none"/>
        <w:vertAlign w:val="baseline"/>
      </w:rPr>
    </w:lvl>
    <w:lvl w:ilvl="2">
      <w:start w:val="1"/>
      <w:numFmt w:val="decimal"/>
      <w:pStyle w:val="3"/>
      <w:suff w:val="nothing"/>
      <w:lvlText w:val="%1.%2.%3  "/>
      <w:lvlJc w:val="left"/>
      <w:pPr>
        <w:ind w:left="426"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pStyle w:val="4"/>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15:restartNumberingAfterBreak="0">
    <w:nsid w:val="0D67560A"/>
    <w:multiLevelType w:val="multilevel"/>
    <w:tmpl w:val="0D67560A"/>
    <w:lvl w:ilvl="0">
      <w:start w:val="1"/>
      <w:numFmt w:val="decimalZero"/>
      <w:pStyle w:val="NewParagraphStyle"/>
      <w:lvlText w:val="[00%1]"/>
      <w:lvlJc w:val="left"/>
      <w:pPr>
        <w:tabs>
          <w:tab w:val="left" w:pos="1080"/>
        </w:tabs>
        <w:ind w:left="0" w:firstLine="0"/>
      </w:pPr>
      <w:rPr>
        <w:rFonts w:ascii="Times New Roman" w:hAnsi="Times New Roman" w:cs="Times New Roman" w:hint="default"/>
        <w:b/>
        <w:i w:val="0"/>
        <w:color w:val="FFFFFF" w:themeColor="background1"/>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auto"/>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7"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3"/>
  </w:num>
  <w:num w:numId="2">
    <w:abstractNumId w:val="0"/>
  </w:num>
  <w:num w:numId="3">
    <w:abstractNumId w:val="2"/>
  </w:num>
  <w:num w:numId="4">
    <w:abstractNumId w:val="8"/>
  </w:num>
  <w:num w:numId="5">
    <w:abstractNumId w:val="1"/>
  </w:num>
  <w:num w:numId="6">
    <w:abstractNumId w:val="7"/>
  </w:num>
  <w:num w:numId="7">
    <w:abstractNumId w:val="5"/>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13DC"/>
    <w:rsid w:val="00012E89"/>
    <w:rsid w:val="00013735"/>
    <w:rsid w:val="00015154"/>
    <w:rsid w:val="00015BFB"/>
    <w:rsid w:val="00015EDB"/>
    <w:rsid w:val="000227CE"/>
    <w:rsid w:val="00026E93"/>
    <w:rsid w:val="00042E39"/>
    <w:rsid w:val="0004491B"/>
    <w:rsid w:val="0005277F"/>
    <w:rsid w:val="00053E53"/>
    <w:rsid w:val="000600CE"/>
    <w:rsid w:val="00061D9A"/>
    <w:rsid w:val="00064D22"/>
    <w:rsid w:val="00077B13"/>
    <w:rsid w:val="00080105"/>
    <w:rsid w:val="00086E99"/>
    <w:rsid w:val="0009751D"/>
    <w:rsid w:val="000A0061"/>
    <w:rsid w:val="000A2163"/>
    <w:rsid w:val="000A2D03"/>
    <w:rsid w:val="000A346B"/>
    <w:rsid w:val="000A6B3B"/>
    <w:rsid w:val="000A7976"/>
    <w:rsid w:val="000B5454"/>
    <w:rsid w:val="000B63CC"/>
    <w:rsid w:val="000C4927"/>
    <w:rsid w:val="000C7C50"/>
    <w:rsid w:val="000D26FB"/>
    <w:rsid w:val="000E501F"/>
    <w:rsid w:val="000F43F9"/>
    <w:rsid w:val="000F4E3C"/>
    <w:rsid w:val="000F65FF"/>
    <w:rsid w:val="000F72AD"/>
    <w:rsid w:val="001034DA"/>
    <w:rsid w:val="0010617D"/>
    <w:rsid w:val="00111793"/>
    <w:rsid w:val="001163CA"/>
    <w:rsid w:val="00127F0E"/>
    <w:rsid w:val="001325A0"/>
    <w:rsid w:val="00136A87"/>
    <w:rsid w:val="00142BC2"/>
    <w:rsid w:val="001452CB"/>
    <w:rsid w:val="001506E9"/>
    <w:rsid w:val="001536A4"/>
    <w:rsid w:val="00166DD7"/>
    <w:rsid w:val="00170E4A"/>
    <w:rsid w:val="00171206"/>
    <w:rsid w:val="00172A27"/>
    <w:rsid w:val="0019443E"/>
    <w:rsid w:val="001B30B0"/>
    <w:rsid w:val="001B6A16"/>
    <w:rsid w:val="001C396E"/>
    <w:rsid w:val="001C68B6"/>
    <w:rsid w:val="001E6587"/>
    <w:rsid w:val="001E68D2"/>
    <w:rsid w:val="001F2A32"/>
    <w:rsid w:val="00200427"/>
    <w:rsid w:val="002040EC"/>
    <w:rsid w:val="00204BEB"/>
    <w:rsid w:val="00205F77"/>
    <w:rsid w:val="002113E9"/>
    <w:rsid w:val="00217072"/>
    <w:rsid w:val="002217CD"/>
    <w:rsid w:val="002254E5"/>
    <w:rsid w:val="002349AB"/>
    <w:rsid w:val="00254F7B"/>
    <w:rsid w:val="00266EB2"/>
    <w:rsid w:val="0026734A"/>
    <w:rsid w:val="00272E7B"/>
    <w:rsid w:val="00291E13"/>
    <w:rsid w:val="002923B1"/>
    <w:rsid w:val="00292BDC"/>
    <w:rsid w:val="002A1851"/>
    <w:rsid w:val="002B3F85"/>
    <w:rsid w:val="002B4EB7"/>
    <w:rsid w:val="002B532D"/>
    <w:rsid w:val="002B7A42"/>
    <w:rsid w:val="002E3026"/>
    <w:rsid w:val="002E66E8"/>
    <w:rsid w:val="002F25AA"/>
    <w:rsid w:val="002F5DB8"/>
    <w:rsid w:val="002F7F9E"/>
    <w:rsid w:val="00300926"/>
    <w:rsid w:val="003013FB"/>
    <w:rsid w:val="00303048"/>
    <w:rsid w:val="00310184"/>
    <w:rsid w:val="00315E32"/>
    <w:rsid w:val="003218B1"/>
    <w:rsid w:val="0033143E"/>
    <w:rsid w:val="00331B1C"/>
    <w:rsid w:val="00331EF2"/>
    <w:rsid w:val="00334743"/>
    <w:rsid w:val="0033722B"/>
    <w:rsid w:val="003433D6"/>
    <w:rsid w:val="00354570"/>
    <w:rsid w:val="0036016B"/>
    <w:rsid w:val="00366ADD"/>
    <w:rsid w:val="003673E2"/>
    <w:rsid w:val="00367434"/>
    <w:rsid w:val="00367EF9"/>
    <w:rsid w:val="00370C23"/>
    <w:rsid w:val="00371CBB"/>
    <w:rsid w:val="00375A07"/>
    <w:rsid w:val="003766C6"/>
    <w:rsid w:val="00377BC5"/>
    <w:rsid w:val="00380742"/>
    <w:rsid w:val="0038563F"/>
    <w:rsid w:val="00395ABF"/>
    <w:rsid w:val="00396ADB"/>
    <w:rsid w:val="003A103D"/>
    <w:rsid w:val="003A320E"/>
    <w:rsid w:val="003A7E56"/>
    <w:rsid w:val="003B1149"/>
    <w:rsid w:val="003B217C"/>
    <w:rsid w:val="003C31D2"/>
    <w:rsid w:val="003C3E0C"/>
    <w:rsid w:val="003D1467"/>
    <w:rsid w:val="003D193C"/>
    <w:rsid w:val="003D1DD7"/>
    <w:rsid w:val="003D2C5F"/>
    <w:rsid w:val="003E38AE"/>
    <w:rsid w:val="003E4BBB"/>
    <w:rsid w:val="00401187"/>
    <w:rsid w:val="00411DE2"/>
    <w:rsid w:val="004173AB"/>
    <w:rsid w:val="004237C9"/>
    <w:rsid w:val="004265D0"/>
    <w:rsid w:val="00426DB8"/>
    <w:rsid w:val="004326F4"/>
    <w:rsid w:val="0043786E"/>
    <w:rsid w:val="004418C4"/>
    <w:rsid w:val="00441FB9"/>
    <w:rsid w:val="00450D27"/>
    <w:rsid w:val="00452AB6"/>
    <w:rsid w:val="00453986"/>
    <w:rsid w:val="0045623B"/>
    <w:rsid w:val="00461AA7"/>
    <w:rsid w:val="00463562"/>
    <w:rsid w:val="0046721D"/>
    <w:rsid w:val="00476112"/>
    <w:rsid w:val="00477D6E"/>
    <w:rsid w:val="004879FA"/>
    <w:rsid w:val="0049057A"/>
    <w:rsid w:val="00496216"/>
    <w:rsid w:val="004A5821"/>
    <w:rsid w:val="004C0057"/>
    <w:rsid w:val="004C05FA"/>
    <w:rsid w:val="004C1151"/>
    <w:rsid w:val="004C7FE3"/>
    <w:rsid w:val="004E1A68"/>
    <w:rsid w:val="004E76D6"/>
    <w:rsid w:val="004F1990"/>
    <w:rsid w:val="004F342B"/>
    <w:rsid w:val="004F7324"/>
    <w:rsid w:val="00503141"/>
    <w:rsid w:val="00515E4D"/>
    <w:rsid w:val="00517339"/>
    <w:rsid w:val="005212D2"/>
    <w:rsid w:val="005228C9"/>
    <w:rsid w:val="00522A39"/>
    <w:rsid w:val="005331DF"/>
    <w:rsid w:val="005420CA"/>
    <w:rsid w:val="005436CE"/>
    <w:rsid w:val="005439D4"/>
    <w:rsid w:val="00544B44"/>
    <w:rsid w:val="00546231"/>
    <w:rsid w:val="005650A3"/>
    <w:rsid w:val="00566FDE"/>
    <w:rsid w:val="005802EF"/>
    <w:rsid w:val="005833B2"/>
    <w:rsid w:val="00583697"/>
    <w:rsid w:val="00584CB8"/>
    <w:rsid w:val="0058704C"/>
    <w:rsid w:val="00592F27"/>
    <w:rsid w:val="00597ADE"/>
    <w:rsid w:val="005A233A"/>
    <w:rsid w:val="005B065E"/>
    <w:rsid w:val="005C068A"/>
    <w:rsid w:val="005C7F61"/>
    <w:rsid w:val="005D14DB"/>
    <w:rsid w:val="005E6D49"/>
    <w:rsid w:val="005F1A12"/>
    <w:rsid w:val="005F3D0F"/>
    <w:rsid w:val="00616958"/>
    <w:rsid w:val="0062153B"/>
    <w:rsid w:val="0062167D"/>
    <w:rsid w:val="00622FAB"/>
    <w:rsid w:val="0062621B"/>
    <w:rsid w:val="00633C6F"/>
    <w:rsid w:val="00634BDA"/>
    <w:rsid w:val="0063757E"/>
    <w:rsid w:val="0064012C"/>
    <w:rsid w:val="006432A2"/>
    <w:rsid w:val="00643612"/>
    <w:rsid w:val="00645E5F"/>
    <w:rsid w:val="006517D3"/>
    <w:rsid w:val="00652B9E"/>
    <w:rsid w:val="006565E8"/>
    <w:rsid w:val="006614AC"/>
    <w:rsid w:val="00674CCE"/>
    <w:rsid w:val="00677C91"/>
    <w:rsid w:val="0068648D"/>
    <w:rsid w:val="00694163"/>
    <w:rsid w:val="006965CC"/>
    <w:rsid w:val="006970AA"/>
    <w:rsid w:val="006A072C"/>
    <w:rsid w:val="006B10CB"/>
    <w:rsid w:val="006B1D0C"/>
    <w:rsid w:val="006B63E2"/>
    <w:rsid w:val="006C415B"/>
    <w:rsid w:val="006C61BF"/>
    <w:rsid w:val="006D3CB8"/>
    <w:rsid w:val="006D42B1"/>
    <w:rsid w:val="006D4A36"/>
    <w:rsid w:val="006D675F"/>
    <w:rsid w:val="006E63CD"/>
    <w:rsid w:val="006E69D1"/>
    <w:rsid w:val="006F0B4C"/>
    <w:rsid w:val="006F24DA"/>
    <w:rsid w:val="0070619F"/>
    <w:rsid w:val="00711D48"/>
    <w:rsid w:val="00712F30"/>
    <w:rsid w:val="00713810"/>
    <w:rsid w:val="007166E8"/>
    <w:rsid w:val="0074089D"/>
    <w:rsid w:val="00744EE8"/>
    <w:rsid w:val="007476DD"/>
    <w:rsid w:val="00752947"/>
    <w:rsid w:val="00771061"/>
    <w:rsid w:val="00781710"/>
    <w:rsid w:val="007946FA"/>
    <w:rsid w:val="00795FC2"/>
    <w:rsid w:val="007A0C1E"/>
    <w:rsid w:val="007A24B9"/>
    <w:rsid w:val="007A5CFF"/>
    <w:rsid w:val="007B0734"/>
    <w:rsid w:val="007B2FE4"/>
    <w:rsid w:val="007B379C"/>
    <w:rsid w:val="007C6A0A"/>
    <w:rsid w:val="007E5057"/>
    <w:rsid w:val="007E53B8"/>
    <w:rsid w:val="007E54D9"/>
    <w:rsid w:val="007F2EEA"/>
    <w:rsid w:val="007F5FF3"/>
    <w:rsid w:val="007F6B9D"/>
    <w:rsid w:val="007F7EAB"/>
    <w:rsid w:val="008026B7"/>
    <w:rsid w:val="00812554"/>
    <w:rsid w:val="00817DE9"/>
    <w:rsid w:val="00826AB2"/>
    <w:rsid w:val="00830ED1"/>
    <w:rsid w:val="008425EB"/>
    <w:rsid w:val="0084276E"/>
    <w:rsid w:val="00847916"/>
    <w:rsid w:val="00847C97"/>
    <w:rsid w:val="00850802"/>
    <w:rsid w:val="00856229"/>
    <w:rsid w:val="00862777"/>
    <w:rsid w:val="008632D8"/>
    <w:rsid w:val="008650A2"/>
    <w:rsid w:val="0087307A"/>
    <w:rsid w:val="0087435E"/>
    <w:rsid w:val="008758E2"/>
    <w:rsid w:val="00877026"/>
    <w:rsid w:val="008776C3"/>
    <w:rsid w:val="00880E89"/>
    <w:rsid w:val="00894AD9"/>
    <w:rsid w:val="008A0205"/>
    <w:rsid w:val="008A3027"/>
    <w:rsid w:val="008A70A0"/>
    <w:rsid w:val="008B418C"/>
    <w:rsid w:val="008B7017"/>
    <w:rsid w:val="008B7CB0"/>
    <w:rsid w:val="008B7DB1"/>
    <w:rsid w:val="008C1A97"/>
    <w:rsid w:val="008C3050"/>
    <w:rsid w:val="008C329B"/>
    <w:rsid w:val="008C72D3"/>
    <w:rsid w:val="008C753B"/>
    <w:rsid w:val="008D1D47"/>
    <w:rsid w:val="008D222B"/>
    <w:rsid w:val="008D230F"/>
    <w:rsid w:val="008D38A0"/>
    <w:rsid w:val="008D4CC1"/>
    <w:rsid w:val="008D54B2"/>
    <w:rsid w:val="008E0B96"/>
    <w:rsid w:val="008E587D"/>
    <w:rsid w:val="008E617E"/>
    <w:rsid w:val="008F11DE"/>
    <w:rsid w:val="008F371D"/>
    <w:rsid w:val="0090147B"/>
    <w:rsid w:val="00901B21"/>
    <w:rsid w:val="00902230"/>
    <w:rsid w:val="00930332"/>
    <w:rsid w:val="00931643"/>
    <w:rsid w:val="009346E0"/>
    <w:rsid w:val="0094353D"/>
    <w:rsid w:val="00953CDE"/>
    <w:rsid w:val="009578F7"/>
    <w:rsid w:val="0096044C"/>
    <w:rsid w:val="009807AF"/>
    <w:rsid w:val="00992CAA"/>
    <w:rsid w:val="0099436F"/>
    <w:rsid w:val="009944AA"/>
    <w:rsid w:val="00994637"/>
    <w:rsid w:val="00995B5C"/>
    <w:rsid w:val="009A364C"/>
    <w:rsid w:val="009A4DF9"/>
    <w:rsid w:val="009C19F5"/>
    <w:rsid w:val="009C772A"/>
    <w:rsid w:val="009C7CF2"/>
    <w:rsid w:val="009D1C4D"/>
    <w:rsid w:val="009D1E4F"/>
    <w:rsid w:val="009E2616"/>
    <w:rsid w:val="009E3CEF"/>
    <w:rsid w:val="009F4418"/>
    <w:rsid w:val="00A027EF"/>
    <w:rsid w:val="00A02943"/>
    <w:rsid w:val="00A06031"/>
    <w:rsid w:val="00A12F88"/>
    <w:rsid w:val="00A14FF2"/>
    <w:rsid w:val="00A15E2F"/>
    <w:rsid w:val="00A33F85"/>
    <w:rsid w:val="00A4166A"/>
    <w:rsid w:val="00A46CC4"/>
    <w:rsid w:val="00A4786D"/>
    <w:rsid w:val="00A57E59"/>
    <w:rsid w:val="00A57F9E"/>
    <w:rsid w:val="00A62103"/>
    <w:rsid w:val="00A70A28"/>
    <w:rsid w:val="00A70C93"/>
    <w:rsid w:val="00A805AB"/>
    <w:rsid w:val="00A878AE"/>
    <w:rsid w:val="00A92636"/>
    <w:rsid w:val="00A941B0"/>
    <w:rsid w:val="00AA6E04"/>
    <w:rsid w:val="00AD4752"/>
    <w:rsid w:val="00AE5669"/>
    <w:rsid w:val="00AF7C15"/>
    <w:rsid w:val="00B20198"/>
    <w:rsid w:val="00B258A6"/>
    <w:rsid w:val="00B406A4"/>
    <w:rsid w:val="00B60EDF"/>
    <w:rsid w:val="00B66332"/>
    <w:rsid w:val="00B771D3"/>
    <w:rsid w:val="00B81A6F"/>
    <w:rsid w:val="00B85674"/>
    <w:rsid w:val="00B875C5"/>
    <w:rsid w:val="00B90825"/>
    <w:rsid w:val="00B9484C"/>
    <w:rsid w:val="00BA4952"/>
    <w:rsid w:val="00BA715F"/>
    <w:rsid w:val="00BC22AE"/>
    <w:rsid w:val="00BC320E"/>
    <w:rsid w:val="00BD47B2"/>
    <w:rsid w:val="00BD52A6"/>
    <w:rsid w:val="00BD6309"/>
    <w:rsid w:val="00BE5AD5"/>
    <w:rsid w:val="00BE5EFB"/>
    <w:rsid w:val="00BE641D"/>
    <w:rsid w:val="00BF08AC"/>
    <w:rsid w:val="00BF1E7C"/>
    <w:rsid w:val="00BF4B0E"/>
    <w:rsid w:val="00C039ED"/>
    <w:rsid w:val="00C134B6"/>
    <w:rsid w:val="00C137DB"/>
    <w:rsid w:val="00C166BC"/>
    <w:rsid w:val="00C239A8"/>
    <w:rsid w:val="00C27740"/>
    <w:rsid w:val="00C37341"/>
    <w:rsid w:val="00C406CC"/>
    <w:rsid w:val="00C46DDE"/>
    <w:rsid w:val="00C56D16"/>
    <w:rsid w:val="00C56E6B"/>
    <w:rsid w:val="00C637DC"/>
    <w:rsid w:val="00C76409"/>
    <w:rsid w:val="00C774C8"/>
    <w:rsid w:val="00C86D85"/>
    <w:rsid w:val="00CA1DBD"/>
    <w:rsid w:val="00CA6701"/>
    <w:rsid w:val="00CB116A"/>
    <w:rsid w:val="00CB2B6E"/>
    <w:rsid w:val="00CB545D"/>
    <w:rsid w:val="00CB62DE"/>
    <w:rsid w:val="00CB7131"/>
    <w:rsid w:val="00CC4532"/>
    <w:rsid w:val="00CC5BD4"/>
    <w:rsid w:val="00CD3761"/>
    <w:rsid w:val="00CE1AD7"/>
    <w:rsid w:val="00CE456A"/>
    <w:rsid w:val="00D01D40"/>
    <w:rsid w:val="00D03E1A"/>
    <w:rsid w:val="00D07944"/>
    <w:rsid w:val="00D115F3"/>
    <w:rsid w:val="00D20A97"/>
    <w:rsid w:val="00D23CE0"/>
    <w:rsid w:val="00D254F1"/>
    <w:rsid w:val="00D26B1F"/>
    <w:rsid w:val="00D34BD5"/>
    <w:rsid w:val="00D40D43"/>
    <w:rsid w:val="00D50681"/>
    <w:rsid w:val="00D50800"/>
    <w:rsid w:val="00D5574F"/>
    <w:rsid w:val="00D62C07"/>
    <w:rsid w:val="00D70ECB"/>
    <w:rsid w:val="00D85AC8"/>
    <w:rsid w:val="00D96EA4"/>
    <w:rsid w:val="00DA5F51"/>
    <w:rsid w:val="00DB013A"/>
    <w:rsid w:val="00DB0ACF"/>
    <w:rsid w:val="00DB6BD7"/>
    <w:rsid w:val="00DC0F8B"/>
    <w:rsid w:val="00DD1BC2"/>
    <w:rsid w:val="00DD4B55"/>
    <w:rsid w:val="00DE0D86"/>
    <w:rsid w:val="00DE5D6D"/>
    <w:rsid w:val="00E04858"/>
    <w:rsid w:val="00E06456"/>
    <w:rsid w:val="00E06B21"/>
    <w:rsid w:val="00E2140B"/>
    <w:rsid w:val="00E3082B"/>
    <w:rsid w:val="00E31E1F"/>
    <w:rsid w:val="00E40E07"/>
    <w:rsid w:val="00E56DD3"/>
    <w:rsid w:val="00E5772F"/>
    <w:rsid w:val="00E61B28"/>
    <w:rsid w:val="00E62A3D"/>
    <w:rsid w:val="00E67314"/>
    <w:rsid w:val="00E74899"/>
    <w:rsid w:val="00E77887"/>
    <w:rsid w:val="00E81286"/>
    <w:rsid w:val="00E85B8C"/>
    <w:rsid w:val="00E903BA"/>
    <w:rsid w:val="00E90FAD"/>
    <w:rsid w:val="00E93052"/>
    <w:rsid w:val="00EA25DE"/>
    <w:rsid w:val="00EA4E8D"/>
    <w:rsid w:val="00EA62E5"/>
    <w:rsid w:val="00EA76D3"/>
    <w:rsid w:val="00EB29BB"/>
    <w:rsid w:val="00EB3ED9"/>
    <w:rsid w:val="00EC0827"/>
    <w:rsid w:val="00EE02C3"/>
    <w:rsid w:val="00EF6E23"/>
    <w:rsid w:val="00F01154"/>
    <w:rsid w:val="00F25E74"/>
    <w:rsid w:val="00F4095D"/>
    <w:rsid w:val="00F40E52"/>
    <w:rsid w:val="00F60223"/>
    <w:rsid w:val="00F765F4"/>
    <w:rsid w:val="00F877B6"/>
    <w:rsid w:val="00F958CC"/>
    <w:rsid w:val="00F96EBF"/>
    <w:rsid w:val="00F97C0B"/>
    <w:rsid w:val="00FA15B8"/>
    <w:rsid w:val="00FA3BED"/>
    <w:rsid w:val="00FA552B"/>
    <w:rsid w:val="00FA62E6"/>
    <w:rsid w:val="00FB5ABE"/>
    <w:rsid w:val="00FD2DE4"/>
    <w:rsid w:val="00FE01EF"/>
    <w:rsid w:val="00FE38DA"/>
    <w:rsid w:val="00FE4365"/>
    <w:rsid w:val="00FF1E19"/>
    <w:rsid w:val="00FF2B35"/>
    <w:rsid w:val="00FF3511"/>
    <w:rsid w:val="00FF71FF"/>
    <w:rsid w:val="01166C39"/>
    <w:rsid w:val="011C748B"/>
    <w:rsid w:val="01307DB8"/>
    <w:rsid w:val="01746DDB"/>
    <w:rsid w:val="01764F01"/>
    <w:rsid w:val="017B55B3"/>
    <w:rsid w:val="019E0494"/>
    <w:rsid w:val="01BC6EAA"/>
    <w:rsid w:val="01BD387A"/>
    <w:rsid w:val="01EA1306"/>
    <w:rsid w:val="01ED62FC"/>
    <w:rsid w:val="01FD3C72"/>
    <w:rsid w:val="020311E8"/>
    <w:rsid w:val="022317D4"/>
    <w:rsid w:val="022371D7"/>
    <w:rsid w:val="023203B4"/>
    <w:rsid w:val="024D6B6A"/>
    <w:rsid w:val="02585A0D"/>
    <w:rsid w:val="025C371C"/>
    <w:rsid w:val="026B46B1"/>
    <w:rsid w:val="028D6155"/>
    <w:rsid w:val="029B04E7"/>
    <w:rsid w:val="02B53888"/>
    <w:rsid w:val="02B66FEF"/>
    <w:rsid w:val="03073BDC"/>
    <w:rsid w:val="032134E9"/>
    <w:rsid w:val="033F44DC"/>
    <w:rsid w:val="035E76DF"/>
    <w:rsid w:val="037B5FB5"/>
    <w:rsid w:val="03915DEB"/>
    <w:rsid w:val="03985ACE"/>
    <w:rsid w:val="0399168A"/>
    <w:rsid w:val="03BC0195"/>
    <w:rsid w:val="03D4716A"/>
    <w:rsid w:val="03E15D83"/>
    <w:rsid w:val="03FB5E7F"/>
    <w:rsid w:val="04130FE4"/>
    <w:rsid w:val="042900C9"/>
    <w:rsid w:val="04860DC7"/>
    <w:rsid w:val="04A355AA"/>
    <w:rsid w:val="04A45057"/>
    <w:rsid w:val="04EE0CCB"/>
    <w:rsid w:val="05010D84"/>
    <w:rsid w:val="05301D9F"/>
    <w:rsid w:val="05391427"/>
    <w:rsid w:val="0549226C"/>
    <w:rsid w:val="0555228E"/>
    <w:rsid w:val="055870D1"/>
    <w:rsid w:val="056C3AED"/>
    <w:rsid w:val="058A1330"/>
    <w:rsid w:val="059D1E39"/>
    <w:rsid w:val="05E078B3"/>
    <w:rsid w:val="060917E5"/>
    <w:rsid w:val="06355762"/>
    <w:rsid w:val="064035FC"/>
    <w:rsid w:val="06497C83"/>
    <w:rsid w:val="066F1ED1"/>
    <w:rsid w:val="067D7857"/>
    <w:rsid w:val="06BA05F9"/>
    <w:rsid w:val="06D01934"/>
    <w:rsid w:val="070C599D"/>
    <w:rsid w:val="07250881"/>
    <w:rsid w:val="072B5A2B"/>
    <w:rsid w:val="07322F8B"/>
    <w:rsid w:val="07587973"/>
    <w:rsid w:val="075E42FF"/>
    <w:rsid w:val="077D0583"/>
    <w:rsid w:val="077E373B"/>
    <w:rsid w:val="079724D0"/>
    <w:rsid w:val="07A3082E"/>
    <w:rsid w:val="07AA6604"/>
    <w:rsid w:val="07DA3411"/>
    <w:rsid w:val="07E06E6D"/>
    <w:rsid w:val="07EA2457"/>
    <w:rsid w:val="07EB08E8"/>
    <w:rsid w:val="082A352F"/>
    <w:rsid w:val="084343C9"/>
    <w:rsid w:val="084D0ADD"/>
    <w:rsid w:val="084E1E18"/>
    <w:rsid w:val="08581907"/>
    <w:rsid w:val="088E2DBB"/>
    <w:rsid w:val="089D5DBC"/>
    <w:rsid w:val="08B05670"/>
    <w:rsid w:val="08C349D1"/>
    <w:rsid w:val="08C805D7"/>
    <w:rsid w:val="08CC0D13"/>
    <w:rsid w:val="08FC43CC"/>
    <w:rsid w:val="09082337"/>
    <w:rsid w:val="092D0CAE"/>
    <w:rsid w:val="093D6246"/>
    <w:rsid w:val="094A5FC4"/>
    <w:rsid w:val="0993533A"/>
    <w:rsid w:val="09B32D80"/>
    <w:rsid w:val="09B454B0"/>
    <w:rsid w:val="09BE4947"/>
    <w:rsid w:val="09BE7E68"/>
    <w:rsid w:val="09C60E46"/>
    <w:rsid w:val="09F67CD5"/>
    <w:rsid w:val="0A08094A"/>
    <w:rsid w:val="0A1739BB"/>
    <w:rsid w:val="0A707140"/>
    <w:rsid w:val="0A7B50B4"/>
    <w:rsid w:val="0A8A3FFF"/>
    <w:rsid w:val="0A9F426D"/>
    <w:rsid w:val="0ADF390F"/>
    <w:rsid w:val="0AE87184"/>
    <w:rsid w:val="0B373144"/>
    <w:rsid w:val="0B3D5147"/>
    <w:rsid w:val="0B400311"/>
    <w:rsid w:val="0B6B20A7"/>
    <w:rsid w:val="0B9E71DF"/>
    <w:rsid w:val="0BB427D1"/>
    <w:rsid w:val="0BCD5C26"/>
    <w:rsid w:val="0BD346D2"/>
    <w:rsid w:val="0BD530BC"/>
    <w:rsid w:val="0BEB5204"/>
    <w:rsid w:val="0BF10670"/>
    <w:rsid w:val="0BF711B3"/>
    <w:rsid w:val="0C0B5854"/>
    <w:rsid w:val="0C26616A"/>
    <w:rsid w:val="0C68761B"/>
    <w:rsid w:val="0C6F272A"/>
    <w:rsid w:val="0C9036C8"/>
    <w:rsid w:val="0C911019"/>
    <w:rsid w:val="0C921354"/>
    <w:rsid w:val="0C9D30C2"/>
    <w:rsid w:val="0CA126F2"/>
    <w:rsid w:val="0CBC30ED"/>
    <w:rsid w:val="0CEA509E"/>
    <w:rsid w:val="0CF928C1"/>
    <w:rsid w:val="0D2D774F"/>
    <w:rsid w:val="0D2F3891"/>
    <w:rsid w:val="0D426E1A"/>
    <w:rsid w:val="0D70284E"/>
    <w:rsid w:val="0D83504B"/>
    <w:rsid w:val="0D9D65F4"/>
    <w:rsid w:val="0DBB4053"/>
    <w:rsid w:val="0DDF74E4"/>
    <w:rsid w:val="0DE764C1"/>
    <w:rsid w:val="0DEE7CA5"/>
    <w:rsid w:val="0E005225"/>
    <w:rsid w:val="0E172BD0"/>
    <w:rsid w:val="0E347579"/>
    <w:rsid w:val="0E61715E"/>
    <w:rsid w:val="0E6A1ECE"/>
    <w:rsid w:val="0E727239"/>
    <w:rsid w:val="0E797428"/>
    <w:rsid w:val="0E8F0168"/>
    <w:rsid w:val="0E9B4F32"/>
    <w:rsid w:val="0EC25B02"/>
    <w:rsid w:val="0EC34966"/>
    <w:rsid w:val="0EF100F1"/>
    <w:rsid w:val="0F0B4FFE"/>
    <w:rsid w:val="0F123F4C"/>
    <w:rsid w:val="0F194900"/>
    <w:rsid w:val="0F1E67DB"/>
    <w:rsid w:val="0F342589"/>
    <w:rsid w:val="0F9861DB"/>
    <w:rsid w:val="0FA67E91"/>
    <w:rsid w:val="0FD80B60"/>
    <w:rsid w:val="0FDB5B48"/>
    <w:rsid w:val="100D6816"/>
    <w:rsid w:val="105D113D"/>
    <w:rsid w:val="10860503"/>
    <w:rsid w:val="10A50104"/>
    <w:rsid w:val="10A85FA8"/>
    <w:rsid w:val="10AE3B4F"/>
    <w:rsid w:val="10B658BE"/>
    <w:rsid w:val="10BA5ACA"/>
    <w:rsid w:val="10C92880"/>
    <w:rsid w:val="10FA22E3"/>
    <w:rsid w:val="11215136"/>
    <w:rsid w:val="1129765D"/>
    <w:rsid w:val="113B07A3"/>
    <w:rsid w:val="115B3410"/>
    <w:rsid w:val="115C2DB6"/>
    <w:rsid w:val="11751017"/>
    <w:rsid w:val="117A531D"/>
    <w:rsid w:val="118C20F8"/>
    <w:rsid w:val="119D7849"/>
    <w:rsid w:val="11AC1F75"/>
    <w:rsid w:val="11F070D0"/>
    <w:rsid w:val="122658B9"/>
    <w:rsid w:val="12364F33"/>
    <w:rsid w:val="1242135C"/>
    <w:rsid w:val="1256212E"/>
    <w:rsid w:val="12AE3906"/>
    <w:rsid w:val="12C76FC6"/>
    <w:rsid w:val="12CB14EC"/>
    <w:rsid w:val="12D00DD7"/>
    <w:rsid w:val="132F040D"/>
    <w:rsid w:val="13344428"/>
    <w:rsid w:val="133C5CE2"/>
    <w:rsid w:val="133F535B"/>
    <w:rsid w:val="134870AC"/>
    <w:rsid w:val="13660260"/>
    <w:rsid w:val="136C3D77"/>
    <w:rsid w:val="137959EC"/>
    <w:rsid w:val="13834312"/>
    <w:rsid w:val="139D335C"/>
    <w:rsid w:val="13A1683F"/>
    <w:rsid w:val="13C2790D"/>
    <w:rsid w:val="141B6583"/>
    <w:rsid w:val="14400B3F"/>
    <w:rsid w:val="1442596B"/>
    <w:rsid w:val="144714E3"/>
    <w:rsid w:val="146A0337"/>
    <w:rsid w:val="14AC00B9"/>
    <w:rsid w:val="14D55B5C"/>
    <w:rsid w:val="14DA3DA1"/>
    <w:rsid w:val="14FC2402"/>
    <w:rsid w:val="1505370E"/>
    <w:rsid w:val="15284EB8"/>
    <w:rsid w:val="155F3495"/>
    <w:rsid w:val="15BB7E2E"/>
    <w:rsid w:val="15FF186D"/>
    <w:rsid w:val="164B2296"/>
    <w:rsid w:val="16CC5263"/>
    <w:rsid w:val="16E17580"/>
    <w:rsid w:val="17025890"/>
    <w:rsid w:val="17155857"/>
    <w:rsid w:val="17332136"/>
    <w:rsid w:val="173B456E"/>
    <w:rsid w:val="17596226"/>
    <w:rsid w:val="177755DF"/>
    <w:rsid w:val="1788263D"/>
    <w:rsid w:val="17950508"/>
    <w:rsid w:val="17C72718"/>
    <w:rsid w:val="18537599"/>
    <w:rsid w:val="18551679"/>
    <w:rsid w:val="185E3F26"/>
    <w:rsid w:val="188D68E8"/>
    <w:rsid w:val="189C69D9"/>
    <w:rsid w:val="18A72928"/>
    <w:rsid w:val="18C87C77"/>
    <w:rsid w:val="18F90C9A"/>
    <w:rsid w:val="18FC370B"/>
    <w:rsid w:val="19010C43"/>
    <w:rsid w:val="19013AC7"/>
    <w:rsid w:val="19084C73"/>
    <w:rsid w:val="194A0457"/>
    <w:rsid w:val="194F6F37"/>
    <w:rsid w:val="195457FC"/>
    <w:rsid w:val="196018AD"/>
    <w:rsid w:val="196E5824"/>
    <w:rsid w:val="19AF5AFD"/>
    <w:rsid w:val="19BF7943"/>
    <w:rsid w:val="19EF1535"/>
    <w:rsid w:val="1A031AE0"/>
    <w:rsid w:val="1A054259"/>
    <w:rsid w:val="1A097942"/>
    <w:rsid w:val="1A2B31B5"/>
    <w:rsid w:val="1A431C6F"/>
    <w:rsid w:val="1A571C1A"/>
    <w:rsid w:val="1A6D42F2"/>
    <w:rsid w:val="1ACB6909"/>
    <w:rsid w:val="1B2B6940"/>
    <w:rsid w:val="1B5838BD"/>
    <w:rsid w:val="1B5F69A7"/>
    <w:rsid w:val="1B7F6005"/>
    <w:rsid w:val="1BA05608"/>
    <w:rsid w:val="1BAF4E35"/>
    <w:rsid w:val="1BAF6DD1"/>
    <w:rsid w:val="1BBF60D0"/>
    <w:rsid w:val="1BE82D8F"/>
    <w:rsid w:val="1C0F5C4A"/>
    <w:rsid w:val="1C132CB9"/>
    <w:rsid w:val="1C177FB2"/>
    <w:rsid w:val="1C227B46"/>
    <w:rsid w:val="1C346C57"/>
    <w:rsid w:val="1CAA2901"/>
    <w:rsid w:val="1CB7084C"/>
    <w:rsid w:val="1CB92F89"/>
    <w:rsid w:val="1CCC26CA"/>
    <w:rsid w:val="1D133E21"/>
    <w:rsid w:val="1D3A10D4"/>
    <w:rsid w:val="1D53497D"/>
    <w:rsid w:val="1D6041FB"/>
    <w:rsid w:val="1D61520F"/>
    <w:rsid w:val="1D786BCA"/>
    <w:rsid w:val="1D805936"/>
    <w:rsid w:val="1D9A0E6F"/>
    <w:rsid w:val="1DA83A0D"/>
    <w:rsid w:val="1DAB4001"/>
    <w:rsid w:val="1DDF2ACE"/>
    <w:rsid w:val="1E0905BF"/>
    <w:rsid w:val="1E2C5268"/>
    <w:rsid w:val="1E5D3C53"/>
    <w:rsid w:val="1E6D25EE"/>
    <w:rsid w:val="1E94181D"/>
    <w:rsid w:val="1E9D6342"/>
    <w:rsid w:val="1EA92500"/>
    <w:rsid w:val="1EBF09C1"/>
    <w:rsid w:val="1ECD4B11"/>
    <w:rsid w:val="1ED879BC"/>
    <w:rsid w:val="1EED420F"/>
    <w:rsid w:val="1EF17B6F"/>
    <w:rsid w:val="1F082190"/>
    <w:rsid w:val="1F1A18CD"/>
    <w:rsid w:val="1F303978"/>
    <w:rsid w:val="1F6170A9"/>
    <w:rsid w:val="1F6200DE"/>
    <w:rsid w:val="1F652C38"/>
    <w:rsid w:val="1F9C5BBE"/>
    <w:rsid w:val="1FE14460"/>
    <w:rsid w:val="20200CA4"/>
    <w:rsid w:val="202D21C3"/>
    <w:rsid w:val="203063E1"/>
    <w:rsid w:val="204E6676"/>
    <w:rsid w:val="205C6F65"/>
    <w:rsid w:val="205F334B"/>
    <w:rsid w:val="206609C5"/>
    <w:rsid w:val="207E0781"/>
    <w:rsid w:val="20834B1A"/>
    <w:rsid w:val="209E0E6A"/>
    <w:rsid w:val="20AA7DFE"/>
    <w:rsid w:val="20CB576A"/>
    <w:rsid w:val="20D06E12"/>
    <w:rsid w:val="20DC4C14"/>
    <w:rsid w:val="20F33E96"/>
    <w:rsid w:val="21047420"/>
    <w:rsid w:val="210634E6"/>
    <w:rsid w:val="21241A3D"/>
    <w:rsid w:val="212440E3"/>
    <w:rsid w:val="215416B9"/>
    <w:rsid w:val="21822343"/>
    <w:rsid w:val="2194141D"/>
    <w:rsid w:val="2195668B"/>
    <w:rsid w:val="21A2535F"/>
    <w:rsid w:val="21A9601A"/>
    <w:rsid w:val="21AC0BE7"/>
    <w:rsid w:val="21BE044A"/>
    <w:rsid w:val="21BE5AD4"/>
    <w:rsid w:val="21CA2BAC"/>
    <w:rsid w:val="220F5075"/>
    <w:rsid w:val="224E2FB0"/>
    <w:rsid w:val="22720857"/>
    <w:rsid w:val="229C0B6C"/>
    <w:rsid w:val="22C84A78"/>
    <w:rsid w:val="23081A49"/>
    <w:rsid w:val="23425BAE"/>
    <w:rsid w:val="2352438B"/>
    <w:rsid w:val="23696DA2"/>
    <w:rsid w:val="23A82A04"/>
    <w:rsid w:val="23B54B12"/>
    <w:rsid w:val="23C52CE6"/>
    <w:rsid w:val="23D11AFC"/>
    <w:rsid w:val="24132C38"/>
    <w:rsid w:val="24210188"/>
    <w:rsid w:val="242D782D"/>
    <w:rsid w:val="243066C8"/>
    <w:rsid w:val="24452B40"/>
    <w:rsid w:val="245366B3"/>
    <w:rsid w:val="24582DBC"/>
    <w:rsid w:val="245C52F8"/>
    <w:rsid w:val="2463385E"/>
    <w:rsid w:val="24B3612C"/>
    <w:rsid w:val="24B54A3E"/>
    <w:rsid w:val="24CB3B1A"/>
    <w:rsid w:val="24DC7AA4"/>
    <w:rsid w:val="24E6081B"/>
    <w:rsid w:val="250D568B"/>
    <w:rsid w:val="25134332"/>
    <w:rsid w:val="25191F5C"/>
    <w:rsid w:val="251E5D80"/>
    <w:rsid w:val="254C3941"/>
    <w:rsid w:val="25572F6C"/>
    <w:rsid w:val="256555F8"/>
    <w:rsid w:val="257E508F"/>
    <w:rsid w:val="25AA2ADA"/>
    <w:rsid w:val="25BF0A19"/>
    <w:rsid w:val="25CA37BB"/>
    <w:rsid w:val="25CB1963"/>
    <w:rsid w:val="25E06614"/>
    <w:rsid w:val="261A61EB"/>
    <w:rsid w:val="26206BEB"/>
    <w:rsid w:val="267E150F"/>
    <w:rsid w:val="26BF5712"/>
    <w:rsid w:val="26C46931"/>
    <w:rsid w:val="26F173AA"/>
    <w:rsid w:val="26F1789D"/>
    <w:rsid w:val="26F24A28"/>
    <w:rsid w:val="26F30ADF"/>
    <w:rsid w:val="26F71EC7"/>
    <w:rsid w:val="27164A92"/>
    <w:rsid w:val="271B490E"/>
    <w:rsid w:val="274120CE"/>
    <w:rsid w:val="27593DCB"/>
    <w:rsid w:val="276B43CC"/>
    <w:rsid w:val="276D22A6"/>
    <w:rsid w:val="27805ED2"/>
    <w:rsid w:val="27AB7429"/>
    <w:rsid w:val="27B806C7"/>
    <w:rsid w:val="27F46C2F"/>
    <w:rsid w:val="27F713BD"/>
    <w:rsid w:val="280B7DBC"/>
    <w:rsid w:val="280D0ABD"/>
    <w:rsid w:val="281418B3"/>
    <w:rsid w:val="285C053E"/>
    <w:rsid w:val="28641BC7"/>
    <w:rsid w:val="28706B14"/>
    <w:rsid w:val="28795D57"/>
    <w:rsid w:val="2898475F"/>
    <w:rsid w:val="28CB2F20"/>
    <w:rsid w:val="290A7633"/>
    <w:rsid w:val="29267740"/>
    <w:rsid w:val="2945677B"/>
    <w:rsid w:val="296A164B"/>
    <w:rsid w:val="299711A3"/>
    <w:rsid w:val="29FA7F26"/>
    <w:rsid w:val="2A0F0262"/>
    <w:rsid w:val="2A11490E"/>
    <w:rsid w:val="2A194FAE"/>
    <w:rsid w:val="2A24123C"/>
    <w:rsid w:val="2A2B07D5"/>
    <w:rsid w:val="2A411455"/>
    <w:rsid w:val="2A62300C"/>
    <w:rsid w:val="2A7903F8"/>
    <w:rsid w:val="2A9E41A6"/>
    <w:rsid w:val="2AB62FA0"/>
    <w:rsid w:val="2AD176E8"/>
    <w:rsid w:val="2B0F311A"/>
    <w:rsid w:val="2B223213"/>
    <w:rsid w:val="2B4440F9"/>
    <w:rsid w:val="2B774832"/>
    <w:rsid w:val="2BC93350"/>
    <w:rsid w:val="2BCA1C44"/>
    <w:rsid w:val="2BE1364E"/>
    <w:rsid w:val="2C0A1E9D"/>
    <w:rsid w:val="2C4101B0"/>
    <w:rsid w:val="2C4735A9"/>
    <w:rsid w:val="2C5312D1"/>
    <w:rsid w:val="2C727714"/>
    <w:rsid w:val="2C9B39D4"/>
    <w:rsid w:val="2CA1029C"/>
    <w:rsid w:val="2CD34644"/>
    <w:rsid w:val="2CDB2A32"/>
    <w:rsid w:val="2CE74D9A"/>
    <w:rsid w:val="2CE94FBB"/>
    <w:rsid w:val="2D036243"/>
    <w:rsid w:val="2D11052F"/>
    <w:rsid w:val="2D2713FE"/>
    <w:rsid w:val="2D644464"/>
    <w:rsid w:val="2DAA1531"/>
    <w:rsid w:val="2DD31482"/>
    <w:rsid w:val="2DED4837"/>
    <w:rsid w:val="2DF81D7C"/>
    <w:rsid w:val="2DFC12C6"/>
    <w:rsid w:val="2E592BD6"/>
    <w:rsid w:val="2E9F709C"/>
    <w:rsid w:val="2EA32F29"/>
    <w:rsid w:val="2ED53BA8"/>
    <w:rsid w:val="2EED0A13"/>
    <w:rsid w:val="2F031089"/>
    <w:rsid w:val="2F1251F2"/>
    <w:rsid w:val="2F3A3603"/>
    <w:rsid w:val="2F65609A"/>
    <w:rsid w:val="2FAE7CFE"/>
    <w:rsid w:val="2FBD09F9"/>
    <w:rsid w:val="30660B82"/>
    <w:rsid w:val="30816B28"/>
    <w:rsid w:val="30962F3E"/>
    <w:rsid w:val="309F648F"/>
    <w:rsid w:val="30AA51DE"/>
    <w:rsid w:val="30B43BCB"/>
    <w:rsid w:val="30D17E68"/>
    <w:rsid w:val="30E43B67"/>
    <w:rsid w:val="30FF2795"/>
    <w:rsid w:val="310E3D65"/>
    <w:rsid w:val="3164591C"/>
    <w:rsid w:val="31654E30"/>
    <w:rsid w:val="317F78A7"/>
    <w:rsid w:val="319432CF"/>
    <w:rsid w:val="3199741D"/>
    <w:rsid w:val="31A561FB"/>
    <w:rsid w:val="31AA2223"/>
    <w:rsid w:val="31C32453"/>
    <w:rsid w:val="31C63526"/>
    <w:rsid w:val="31FD180E"/>
    <w:rsid w:val="32026BFD"/>
    <w:rsid w:val="3214373A"/>
    <w:rsid w:val="32586AD3"/>
    <w:rsid w:val="325B6A5A"/>
    <w:rsid w:val="326B0FC4"/>
    <w:rsid w:val="327F30CF"/>
    <w:rsid w:val="329A6ACE"/>
    <w:rsid w:val="32AB75FA"/>
    <w:rsid w:val="32C64BD3"/>
    <w:rsid w:val="334F3544"/>
    <w:rsid w:val="3366641B"/>
    <w:rsid w:val="33834A37"/>
    <w:rsid w:val="33A253D1"/>
    <w:rsid w:val="33D35B3A"/>
    <w:rsid w:val="33FF73F9"/>
    <w:rsid w:val="34356AFA"/>
    <w:rsid w:val="34371266"/>
    <w:rsid w:val="345B1306"/>
    <w:rsid w:val="348D3D32"/>
    <w:rsid w:val="34981A38"/>
    <w:rsid w:val="34B00C96"/>
    <w:rsid w:val="34CB6483"/>
    <w:rsid w:val="34EC39C4"/>
    <w:rsid w:val="34EE2CC1"/>
    <w:rsid w:val="3505548D"/>
    <w:rsid w:val="35191B59"/>
    <w:rsid w:val="352F6E53"/>
    <w:rsid w:val="35997ED3"/>
    <w:rsid w:val="35B0594E"/>
    <w:rsid w:val="35B344D1"/>
    <w:rsid w:val="35C47CF3"/>
    <w:rsid w:val="35D5780F"/>
    <w:rsid w:val="360673D5"/>
    <w:rsid w:val="360B1D73"/>
    <w:rsid w:val="360B7EE7"/>
    <w:rsid w:val="361F3323"/>
    <w:rsid w:val="364029A4"/>
    <w:rsid w:val="364A298F"/>
    <w:rsid w:val="364A7B2B"/>
    <w:rsid w:val="3659312E"/>
    <w:rsid w:val="3681117A"/>
    <w:rsid w:val="36854C1B"/>
    <w:rsid w:val="36920EE7"/>
    <w:rsid w:val="36BA1EEC"/>
    <w:rsid w:val="36E93760"/>
    <w:rsid w:val="37212DC5"/>
    <w:rsid w:val="3784394E"/>
    <w:rsid w:val="379B41C4"/>
    <w:rsid w:val="37F25734"/>
    <w:rsid w:val="380A0B96"/>
    <w:rsid w:val="38337F5B"/>
    <w:rsid w:val="383C4946"/>
    <w:rsid w:val="384470D7"/>
    <w:rsid w:val="385135F5"/>
    <w:rsid w:val="385F665C"/>
    <w:rsid w:val="388E6551"/>
    <w:rsid w:val="38AE3BB0"/>
    <w:rsid w:val="38D739DA"/>
    <w:rsid w:val="38DC5505"/>
    <w:rsid w:val="39086435"/>
    <w:rsid w:val="391F7D60"/>
    <w:rsid w:val="392C1BF2"/>
    <w:rsid w:val="392E58B6"/>
    <w:rsid w:val="393C332E"/>
    <w:rsid w:val="393C4B29"/>
    <w:rsid w:val="39496AE3"/>
    <w:rsid w:val="3985660B"/>
    <w:rsid w:val="39BB13DA"/>
    <w:rsid w:val="39DB06B3"/>
    <w:rsid w:val="39FB63B7"/>
    <w:rsid w:val="3A127976"/>
    <w:rsid w:val="3A1704BF"/>
    <w:rsid w:val="3A21290D"/>
    <w:rsid w:val="3A7E5091"/>
    <w:rsid w:val="3AC2467B"/>
    <w:rsid w:val="3AC253ED"/>
    <w:rsid w:val="3ACB5746"/>
    <w:rsid w:val="3AD258E7"/>
    <w:rsid w:val="3AE826D9"/>
    <w:rsid w:val="3B047F30"/>
    <w:rsid w:val="3B1A3365"/>
    <w:rsid w:val="3B3664CC"/>
    <w:rsid w:val="3B673648"/>
    <w:rsid w:val="3B9F5CB3"/>
    <w:rsid w:val="3BB20883"/>
    <w:rsid w:val="3BF5659F"/>
    <w:rsid w:val="3C0B0A48"/>
    <w:rsid w:val="3C134C38"/>
    <w:rsid w:val="3C394599"/>
    <w:rsid w:val="3C635BF2"/>
    <w:rsid w:val="3C7B540C"/>
    <w:rsid w:val="3C8C0B9E"/>
    <w:rsid w:val="3C916E8A"/>
    <w:rsid w:val="3CCF7EB8"/>
    <w:rsid w:val="3CE82456"/>
    <w:rsid w:val="3D0527AD"/>
    <w:rsid w:val="3D1D3E8C"/>
    <w:rsid w:val="3D3A17E7"/>
    <w:rsid w:val="3D7830E2"/>
    <w:rsid w:val="3D9F080E"/>
    <w:rsid w:val="3DA8275C"/>
    <w:rsid w:val="3DAD7029"/>
    <w:rsid w:val="3DBF2FD6"/>
    <w:rsid w:val="3DDE6765"/>
    <w:rsid w:val="3DEB1084"/>
    <w:rsid w:val="3DF77E46"/>
    <w:rsid w:val="3E39525D"/>
    <w:rsid w:val="3E441C7D"/>
    <w:rsid w:val="3E7F0554"/>
    <w:rsid w:val="3ECB2614"/>
    <w:rsid w:val="3F064C17"/>
    <w:rsid w:val="3F104E7C"/>
    <w:rsid w:val="3F1E19C9"/>
    <w:rsid w:val="3F4F7D05"/>
    <w:rsid w:val="3F7009A7"/>
    <w:rsid w:val="3F8D2B60"/>
    <w:rsid w:val="3FC956FF"/>
    <w:rsid w:val="400131B8"/>
    <w:rsid w:val="40151C98"/>
    <w:rsid w:val="402B196F"/>
    <w:rsid w:val="40375763"/>
    <w:rsid w:val="404C2A57"/>
    <w:rsid w:val="406B12D1"/>
    <w:rsid w:val="40903A47"/>
    <w:rsid w:val="409C0D37"/>
    <w:rsid w:val="40A36A71"/>
    <w:rsid w:val="40CB3E39"/>
    <w:rsid w:val="40D07704"/>
    <w:rsid w:val="40EA5ADE"/>
    <w:rsid w:val="410E4736"/>
    <w:rsid w:val="411C0B17"/>
    <w:rsid w:val="414D38DC"/>
    <w:rsid w:val="4169226D"/>
    <w:rsid w:val="417A1EF8"/>
    <w:rsid w:val="419752E1"/>
    <w:rsid w:val="41A14CA0"/>
    <w:rsid w:val="41BC286E"/>
    <w:rsid w:val="41C577BA"/>
    <w:rsid w:val="41D3631F"/>
    <w:rsid w:val="41F46181"/>
    <w:rsid w:val="41F466FD"/>
    <w:rsid w:val="42216DBB"/>
    <w:rsid w:val="422B0BD2"/>
    <w:rsid w:val="427E2C9C"/>
    <w:rsid w:val="428434A1"/>
    <w:rsid w:val="42A67A24"/>
    <w:rsid w:val="42AA6FA8"/>
    <w:rsid w:val="42B84DF7"/>
    <w:rsid w:val="42D846B9"/>
    <w:rsid w:val="43015D68"/>
    <w:rsid w:val="432B156A"/>
    <w:rsid w:val="43337F14"/>
    <w:rsid w:val="433817F8"/>
    <w:rsid w:val="433A607B"/>
    <w:rsid w:val="43534E6C"/>
    <w:rsid w:val="43625625"/>
    <w:rsid w:val="43642577"/>
    <w:rsid w:val="437A3F21"/>
    <w:rsid w:val="43B0194A"/>
    <w:rsid w:val="43B97E64"/>
    <w:rsid w:val="43D54F80"/>
    <w:rsid w:val="44096344"/>
    <w:rsid w:val="440D5045"/>
    <w:rsid w:val="44165FD7"/>
    <w:rsid w:val="442F3AF4"/>
    <w:rsid w:val="443444AD"/>
    <w:rsid w:val="4466378D"/>
    <w:rsid w:val="44945448"/>
    <w:rsid w:val="44F5724A"/>
    <w:rsid w:val="450F7A76"/>
    <w:rsid w:val="45324273"/>
    <w:rsid w:val="454B31E9"/>
    <w:rsid w:val="454F7EE5"/>
    <w:rsid w:val="4555581D"/>
    <w:rsid w:val="457602B0"/>
    <w:rsid w:val="45BE6191"/>
    <w:rsid w:val="45BF679F"/>
    <w:rsid w:val="45EF3FC4"/>
    <w:rsid w:val="45FE24FC"/>
    <w:rsid w:val="460C5979"/>
    <w:rsid w:val="46AC250E"/>
    <w:rsid w:val="46C56CAD"/>
    <w:rsid w:val="46E90846"/>
    <w:rsid w:val="46FF61C2"/>
    <w:rsid w:val="473430FD"/>
    <w:rsid w:val="4740667C"/>
    <w:rsid w:val="47672D4D"/>
    <w:rsid w:val="4776027E"/>
    <w:rsid w:val="47783DDD"/>
    <w:rsid w:val="47AC02D9"/>
    <w:rsid w:val="47C01792"/>
    <w:rsid w:val="47C215CA"/>
    <w:rsid w:val="47D3679D"/>
    <w:rsid w:val="47DA737E"/>
    <w:rsid w:val="47E73D60"/>
    <w:rsid w:val="47F831A1"/>
    <w:rsid w:val="47FB31DF"/>
    <w:rsid w:val="4800150D"/>
    <w:rsid w:val="4808150F"/>
    <w:rsid w:val="482E6C55"/>
    <w:rsid w:val="483841CB"/>
    <w:rsid w:val="48655CDB"/>
    <w:rsid w:val="487A7CBE"/>
    <w:rsid w:val="488A4F97"/>
    <w:rsid w:val="48B80462"/>
    <w:rsid w:val="48C169FF"/>
    <w:rsid w:val="48C600E6"/>
    <w:rsid w:val="48D321B5"/>
    <w:rsid w:val="48DC6BCF"/>
    <w:rsid w:val="493163F1"/>
    <w:rsid w:val="49701211"/>
    <w:rsid w:val="498C0705"/>
    <w:rsid w:val="49DD2FA3"/>
    <w:rsid w:val="49E9233D"/>
    <w:rsid w:val="49F34DE0"/>
    <w:rsid w:val="4A2324A9"/>
    <w:rsid w:val="4A2C54FD"/>
    <w:rsid w:val="4A3703C6"/>
    <w:rsid w:val="4A613BE8"/>
    <w:rsid w:val="4AAD1944"/>
    <w:rsid w:val="4AAE33DD"/>
    <w:rsid w:val="4AC31003"/>
    <w:rsid w:val="4AE93159"/>
    <w:rsid w:val="4AF26901"/>
    <w:rsid w:val="4AF8354A"/>
    <w:rsid w:val="4B0B4636"/>
    <w:rsid w:val="4B101FF1"/>
    <w:rsid w:val="4B1F1EB0"/>
    <w:rsid w:val="4B3B3C56"/>
    <w:rsid w:val="4B6F5171"/>
    <w:rsid w:val="4B714CA8"/>
    <w:rsid w:val="4B894E29"/>
    <w:rsid w:val="4B8A38B7"/>
    <w:rsid w:val="4BD0339A"/>
    <w:rsid w:val="4BE255AD"/>
    <w:rsid w:val="4C154D1E"/>
    <w:rsid w:val="4C1E62FB"/>
    <w:rsid w:val="4C247E4A"/>
    <w:rsid w:val="4C496DB3"/>
    <w:rsid w:val="4C4D2784"/>
    <w:rsid w:val="4C8E2AE9"/>
    <w:rsid w:val="4CC57102"/>
    <w:rsid w:val="4D2455C6"/>
    <w:rsid w:val="4D462159"/>
    <w:rsid w:val="4D553300"/>
    <w:rsid w:val="4D5C5FAC"/>
    <w:rsid w:val="4D7D6E2D"/>
    <w:rsid w:val="4DA00E6E"/>
    <w:rsid w:val="4DC605B6"/>
    <w:rsid w:val="4DEC0985"/>
    <w:rsid w:val="4DFB4F20"/>
    <w:rsid w:val="4E0C1F8E"/>
    <w:rsid w:val="4E27683A"/>
    <w:rsid w:val="4E586A27"/>
    <w:rsid w:val="4EC43E9E"/>
    <w:rsid w:val="4EC74CC4"/>
    <w:rsid w:val="4ECE3CDF"/>
    <w:rsid w:val="4EDB34FF"/>
    <w:rsid w:val="4EF32FFF"/>
    <w:rsid w:val="4F232A9C"/>
    <w:rsid w:val="4F2765B1"/>
    <w:rsid w:val="4F285975"/>
    <w:rsid w:val="4F5E2A8B"/>
    <w:rsid w:val="4F800800"/>
    <w:rsid w:val="4F8E43A5"/>
    <w:rsid w:val="4FBF79AC"/>
    <w:rsid w:val="4FDE1A03"/>
    <w:rsid w:val="4FE30CD5"/>
    <w:rsid w:val="4FF8546C"/>
    <w:rsid w:val="50290C55"/>
    <w:rsid w:val="5032610B"/>
    <w:rsid w:val="50520EBB"/>
    <w:rsid w:val="50607024"/>
    <w:rsid w:val="506A4F14"/>
    <w:rsid w:val="50701CEF"/>
    <w:rsid w:val="50751061"/>
    <w:rsid w:val="50782856"/>
    <w:rsid w:val="507C5FAD"/>
    <w:rsid w:val="507E3A43"/>
    <w:rsid w:val="50BE2993"/>
    <w:rsid w:val="50D63702"/>
    <w:rsid w:val="50F12C37"/>
    <w:rsid w:val="50FC4BD4"/>
    <w:rsid w:val="51101AA1"/>
    <w:rsid w:val="512F1290"/>
    <w:rsid w:val="514C67CB"/>
    <w:rsid w:val="515F7C86"/>
    <w:rsid w:val="51796EDE"/>
    <w:rsid w:val="51867298"/>
    <w:rsid w:val="518D4602"/>
    <w:rsid w:val="51AD61BA"/>
    <w:rsid w:val="51D40EDC"/>
    <w:rsid w:val="521936F1"/>
    <w:rsid w:val="52195EDF"/>
    <w:rsid w:val="52313387"/>
    <w:rsid w:val="523C02D8"/>
    <w:rsid w:val="523C4471"/>
    <w:rsid w:val="52480238"/>
    <w:rsid w:val="525767B4"/>
    <w:rsid w:val="529357CD"/>
    <w:rsid w:val="529526FD"/>
    <w:rsid w:val="529B15FE"/>
    <w:rsid w:val="52BF6541"/>
    <w:rsid w:val="52C542AA"/>
    <w:rsid w:val="52D4333A"/>
    <w:rsid w:val="52E04D27"/>
    <w:rsid w:val="53314407"/>
    <w:rsid w:val="53492294"/>
    <w:rsid w:val="538F551C"/>
    <w:rsid w:val="539A390F"/>
    <w:rsid w:val="53DB3477"/>
    <w:rsid w:val="54181AF3"/>
    <w:rsid w:val="5485469A"/>
    <w:rsid w:val="549E27BD"/>
    <w:rsid w:val="54AF6B42"/>
    <w:rsid w:val="54B205EE"/>
    <w:rsid w:val="54C140CB"/>
    <w:rsid w:val="54D6626A"/>
    <w:rsid w:val="54E218CB"/>
    <w:rsid w:val="54E44BF8"/>
    <w:rsid w:val="54E80108"/>
    <w:rsid w:val="54F90080"/>
    <w:rsid w:val="54FC325C"/>
    <w:rsid w:val="55050D67"/>
    <w:rsid w:val="550A1E87"/>
    <w:rsid w:val="5510241A"/>
    <w:rsid w:val="553457CC"/>
    <w:rsid w:val="556719D4"/>
    <w:rsid w:val="559C3368"/>
    <w:rsid w:val="55CB1779"/>
    <w:rsid w:val="55DD6F2A"/>
    <w:rsid w:val="55F72D1E"/>
    <w:rsid w:val="56022FBC"/>
    <w:rsid w:val="56252A4A"/>
    <w:rsid w:val="562805B1"/>
    <w:rsid w:val="56514CF9"/>
    <w:rsid w:val="56553261"/>
    <w:rsid w:val="565975B0"/>
    <w:rsid w:val="568D1187"/>
    <w:rsid w:val="56B41A58"/>
    <w:rsid w:val="56BC356A"/>
    <w:rsid w:val="56D577C5"/>
    <w:rsid w:val="56E23970"/>
    <w:rsid w:val="570856B7"/>
    <w:rsid w:val="573547FD"/>
    <w:rsid w:val="577A3C7D"/>
    <w:rsid w:val="578F220A"/>
    <w:rsid w:val="5798657F"/>
    <w:rsid w:val="57B06157"/>
    <w:rsid w:val="57D503EA"/>
    <w:rsid w:val="57FC07D9"/>
    <w:rsid w:val="58500F22"/>
    <w:rsid w:val="58581669"/>
    <w:rsid w:val="58B82BCC"/>
    <w:rsid w:val="58B960DE"/>
    <w:rsid w:val="58F6018A"/>
    <w:rsid w:val="590D1052"/>
    <w:rsid w:val="591C0009"/>
    <w:rsid w:val="594022DC"/>
    <w:rsid w:val="595D7634"/>
    <w:rsid w:val="59610A7F"/>
    <w:rsid w:val="59687D7F"/>
    <w:rsid w:val="59912A3B"/>
    <w:rsid w:val="599C51D2"/>
    <w:rsid w:val="59A353EA"/>
    <w:rsid w:val="59A81F44"/>
    <w:rsid w:val="59A95289"/>
    <w:rsid w:val="59AA2571"/>
    <w:rsid w:val="59B15F48"/>
    <w:rsid w:val="59C600B6"/>
    <w:rsid w:val="59D15A81"/>
    <w:rsid w:val="59E7009D"/>
    <w:rsid w:val="59F13672"/>
    <w:rsid w:val="5A07523D"/>
    <w:rsid w:val="5A2802D2"/>
    <w:rsid w:val="5A553984"/>
    <w:rsid w:val="5A5E5DD2"/>
    <w:rsid w:val="5A6D43C4"/>
    <w:rsid w:val="5ACB3B5D"/>
    <w:rsid w:val="5ACF0F3A"/>
    <w:rsid w:val="5AD450DC"/>
    <w:rsid w:val="5AEE752B"/>
    <w:rsid w:val="5B5965C9"/>
    <w:rsid w:val="5B677D9B"/>
    <w:rsid w:val="5B7C1136"/>
    <w:rsid w:val="5B7D506F"/>
    <w:rsid w:val="5BD20414"/>
    <w:rsid w:val="5BEA73B8"/>
    <w:rsid w:val="5BF54BBF"/>
    <w:rsid w:val="5BFC59FC"/>
    <w:rsid w:val="5C116290"/>
    <w:rsid w:val="5C6B1600"/>
    <w:rsid w:val="5C6D2C5B"/>
    <w:rsid w:val="5C8B39C5"/>
    <w:rsid w:val="5C921AD0"/>
    <w:rsid w:val="5CAF7180"/>
    <w:rsid w:val="5CC77483"/>
    <w:rsid w:val="5CCD5BE1"/>
    <w:rsid w:val="5CD94ADB"/>
    <w:rsid w:val="5CE45D66"/>
    <w:rsid w:val="5D182295"/>
    <w:rsid w:val="5D237020"/>
    <w:rsid w:val="5D3D3693"/>
    <w:rsid w:val="5D5F741C"/>
    <w:rsid w:val="5DAE151D"/>
    <w:rsid w:val="5DB43FBC"/>
    <w:rsid w:val="5DB97D00"/>
    <w:rsid w:val="5DC07B62"/>
    <w:rsid w:val="5DFD51DB"/>
    <w:rsid w:val="5E0D36E5"/>
    <w:rsid w:val="5E182834"/>
    <w:rsid w:val="5E4410C5"/>
    <w:rsid w:val="5E7510E4"/>
    <w:rsid w:val="5EB62CC3"/>
    <w:rsid w:val="5EBD3AB4"/>
    <w:rsid w:val="5ED711BC"/>
    <w:rsid w:val="5EEA4269"/>
    <w:rsid w:val="5EF80977"/>
    <w:rsid w:val="5F0A3BA8"/>
    <w:rsid w:val="5F1A5A71"/>
    <w:rsid w:val="5F322656"/>
    <w:rsid w:val="5F3D3A73"/>
    <w:rsid w:val="5F434754"/>
    <w:rsid w:val="5F603E36"/>
    <w:rsid w:val="5F9E6C40"/>
    <w:rsid w:val="5FE87018"/>
    <w:rsid w:val="602765D8"/>
    <w:rsid w:val="602965AB"/>
    <w:rsid w:val="602F201A"/>
    <w:rsid w:val="605F1B37"/>
    <w:rsid w:val="60693435"/>
    <w:rsid w:val="607A53FE"/>
    <w:rsid w:val="607C3753"/>
    <w:rsid w:val="609578A8"/>
    <w:rsid w:val="60BC3383"/>
    <w:rsid w:val="60C30855"/>
    <w:rsid w:val="60CC7FFA"/>
    <w:rsid w:val="610B17E6"/>
    <w:rsid w:val="61421EFD"/>
    <w:rsid w:val="615C2588"/>
    <w:rsid w:val="615C5041"/>
    <w:rsid w:val="61800D98"/>
    <w:rsid w:val="6190040B"/>
    <w:rsid w:val="61BD0E0A"/>
    <w:rsid w:val="61D20812"/>
    <w:rsid w:val="61D705BD"/>
    <w:rsid w:val="61DD59E8"/>
    <w:rsid w:val="61E56B7B"/>
    <w:rsid w:val="62105DC6"/>
    <w:rsid w:val="62420984"/>
    <w:rsid w:val="626C4E5F"/>
    <w:rsid w:val="6271154E"/>
    <w:rsid w:val="62746FA2"/>
    <w:rsid w:val="627D0863"/>
    <w:rsid w:val="62A4042F"/>
    <w:rsid w:val="62A87076"/>
    <w:rsid w:val="62B70B91"/>
    <w:rsid w:val="63206216"/>
    <w:rsid w:val="634B3A82"/>
    <w:rsid w:val="63523344"/>
    <w:rsid w:val="63560707"/>
    <w:rsid w:val="6357067F"/>
    <w:rsid w:val="637A78DC"/>
    <w:rsid w:val="63955AD0"/>
    <w:rsid w:val="63960619"/>
    <w:rsid w:val="63A167BF"/>
    <w:rsid w:val="63D03DEE"/>
    <w:rsid w:val="63DD6E9C"/>
    <w:rsid w:val="63EE4F3F"/>
    <w:rsid w:val="63FA6FF4"/>
    <w:rsid w:val="641A2384"/>
    <w:rsid w:val="641D6B39"/>
    <w:rsid w:val="642167EE"/>
    <w:rsid w:val="64AE1A76"/>
    <w:rsid w:val="64B3138B"/>
    <w:rsid w:val="64CB6601"/>
    <w:rsid w:val="64D008CC"/>
    <w:rsid w:val="64E16165"/>
    <w:rsid w:val="64EF3666"/>
    <w:rsid w:val="64FC1880"/>
    <w:rsid w:val="65094EFF"/>
    <w:rsid w:val="651B3798"/>
    <w:rsid w:val="65370CD5"/>
    <w:rsid w:val="655A4983"/>
    <w:rsid w:val="65847BBF"/>
    <w:rsid w:val="659C0FAD"/>
    <w:rsid w:val="65B57404"/>
    <w:rsid w:val="65B93A8D"/>
    <w:rsid w:val="65CA1E2C"/>
    <w:rsid w:val="65D975AE"/>
    <w:rsid w:val="6614517B"/>
    <w:rsid w:val="661746DD"/>
    <w:rsid w:val="6621610B"/>
    <w:rsid w:val="662E6B71"/>
    <w:rsid w:val="664805B8"/>
    <w:rsid w:val="66522CB5"/>
    <w:rsid w:val="665350F4"/>
    <w:rsid w:val="665E34DC"/>
    <w:rsid w:val="66AC7554"/>
    <w:rsid w:val="66C053F3"/>
    <w:rsid w:val="66CD03F2"/>
    <w:rsid w:val="66CD7C88"/>
    <w:rsid w:val="66D221EE"/>
    <w:rsid w:val="66DA55D7"/>
    <w:rsid w:val="66F82180"/>
    <w:rsid w:val="670F41E0"/>
    <w:rsid w:val="674A55C7"/>
    <w:rsid w:val="677D25E8"/>
    <w:rsid w:val="678A787F"/>
    <w:rsid w:val="67AD6B3A"/>
    <w:rsid w:val="67BD0300"/>
    <w:rsid w:val="67D325C4"/>
    <w:rsid w:val="67F85BE4"/>
    <w:rsid w:val="68031C5B"/>
    <w:rsid w:val="682616B3"/>
    <w:rsid w:val="682A4EAB"/>
    <w:rsid w:val="68316174"/>
    <w:rsid w:val="684D34F9"/>
    <w:rsid w:val="68782E12"/>
    <w:rsid w:val="68B253F0"/>
    <w:rsid w:val="68BE2E83"/>
    <w:rsid w:val="68D74BD0"/>
    <w:rsid w:val="68F533A3"/>
    <w:rsid w:val="690453B7"/>
    <w:rsid w:val="690B53E9"/>
    <w:rsid w:val="690F418B"/>
    <w:rsid w:val="69382BA0"/>
    <w:rsid w:val="699323D6"/>
    <w:rsid w:val="69A15B91"/>
    <w:rsid w:val="69B32313"/>
    <w:rsid w:val="6A007B68"/>
    <w:rsid w:val="6A0409C8"/>
    <w:rsid w:val="6A367675"/>
    <w:rsid w:val="6A700D2B"/>
    <w:rsid w:val="6A741183"/>
    <w:rsid w:val="6A7A2736"/>
    <w:rsid w:val="6A7B4B9C"/>
    <w:rsid w:val="6AA651A8"/>
    <w:rsid w:val="6AEB121D"/>
    <w:rsid w:val="6AFB78C4"/>
    <w:rsid w:val="6B004CFA"/>
    <w:rsid w:val="6B120A68"/>
    <w:rsid w:val="6B2E22EC"/>
    <w:rsid w:val="6B586E1F"/>
    <w:rsid w:val="6BAF5652"/>
    <w:rsid w:val="6BF63058"/>
    <w:rsid w:val="6C0949F6"/>
    <w:rsid w:val="6C403733"/>
    <w:rsid w:val="6C6F4FDA"/>
    <w:rsid w:val="6C89456C"/>
    <w:rsid w:val="6C8F5003"/>
    <w:rsid w:val="6CA35C83"/>
    <w:rsid w:val="6CA52710"/>
    <w:rsid w:val="6CAC58B4"/>
    <w:rsid w:val="6CC34B94"/>
    <w:rsid w:val="6CF2121C"/>
    <w:rsid w:val="6D087373"/>
    <w:rsid w:val="6D275EAB"/>
    <w:rsid w:val="6D362B4E"/>
    <w:rsid w:val="6D4A2539"/>
    <w:rsid w:val="6D572C9F"/>
    <w:rsid w:val="6D8352A0"/>
    <w:rsid w:val="6D8E14C1"/>
    <w:rsid w:val="6D8F3975"/>
    <w:rsid w:val="6D97094D"/>
    <w:rsid w:val="6DAE632B"/>
    <w:rsid w:val="6DDF3055"/>
    <w:rsid w:val="6DF009F6"/>
    <w:rsid w:val="6E217EA6"/>
    <w:rsid w:val="6E2666BC"/>
    <w:rsid w:val="6E2F175D"/>
    <w:rsid w:val="6E3B7611"/>
    <w:rsid w:val="6E605E8D"/>
    <w:rsid w:val="6E69000E"/>
    <w:rsid w:val="6E8959F5"/>
    <w:rsid w:val="6EBC6999"/>
    <w:rsid w:val="6EC062B0"/>
    <w:rsid w:val="6EDF5FC3"/>
    <w:rsid w:val="6EF90D33"/>
    <w:rsid w:val="6F3173D4"/>
    <w:rsid w:val="6F3F60AD"/>
    <w:rsid w:val="6F7405D9"/>
    <w:rsid w:val="6F7A5D4F"/>
    <w:rsid w:val="6F901B66"/>
    <w:rsid w:val="6F904441"/>
    <w:rsid w:val="6FA629D4"/>
    <w:rsid w:val="6FA70F58"/>
    <w:rsid w:val="6FBB10CB"/>
    <w:rsid w:val="6FD10552"/>
    <w:rsid w:val="6FDE5F86"/>
    <w:rsid w:val="70014D67"/>
    <w:rsid w:val="70117B8A"/>
    <w:rsid w:val="70360B36"/>
    <w:rsid w:val="703B3228"/>
    <w:rsid w:val="704F39D7"/>
    <w:rsid w:val="707A3942"/>
    <w:rsid w:val="709E0125"/>
    <w:rsid w:val="70BB2EF0"/>
    <w:rsid w:val="70CC6A1F"/>
    <w:rsid w:val="70CE0A84"/>
    <w:rsid w:val="70E10DC3"/>
    <w:rsid w:val="70F054AD"/>
    <w:rsid w:val="71095983"/>
    <w:rsid w:val="71096BD2"/>
    <w:rsid w:val="712D59A6"/>
    <w:rsid w:val="71402F8B"/>
    <w:rsid w:val="71475ADB"/>
    <w:rsid w:val="714956BD"/>
    <w:rsid w:val="7168458C"/>
    <w:rsid w:val="717140CF"/>
    <w:rsid w:val="718F10F7"/>
    <w:rsid w:val="71D55C91"/>
    <w:rsid w:val="71DE13EC"/>
    <w:rsid w:val="71FF5381"/>
    <w:rsid w:val="722B37CD"/>
    <w:rsid w:val="72305A9A"/>
    <w:rsid w:val="72427DB1"/>
    <w:rsid w:val="726B260D"/>
    <w:rsid w:val="729C4184"/>
    <w:rsid w:val="72B34A69"/>
    <w:rsid w:val="72EE6C52"/>
    <w:rsid w:val="73287A23"/>
    <w:rsid w:val="7331324E"/>
    <w:rsid w:val="733946CF"/>
    <w:rsid w:val="73455C21"/>
    <w:rsid w:val="73710635"/>
    <w:rsid w:val="73864E70"/>
    <w:rsid w:val="73934DB7"/>
    <w:rsid w:val="73D425F7"/>
    <w:rsid w:val="73D6575A"/>
    <w:rsid w:val="73E2217A"/>
    <w:rsid w:val="73E636C1"/>
    <w:rsid w:val="74494D19"/>
    <w:rsid w:val="74600E53"/>
    <w:rsid w:val="746A0CB1"/>
    <w:rsid w:val="74712AFB"/>
    <w:rsid w:val="74A310C0"/>
    <w:rsid w:val="74A31B48"/>
    <w:rsid w:val="74AE4111"/>
    <w:rsid w:val="74BC1C78"/>
    <w:rsid w:val="75035869"/>
    <w:rsid w:val="750A2023"/>
    <w:rsid w:val="75171C24"/>
    <w:rsid w:val="753A6747"/>
    <w:rsid w:val="754057EF"/>
    <w:rsid w:val="75486E94"/>
    <w:rsid w:val="7568351A"/>
    <w:rsid w:val="758D04C2"/>
    <w:rsid w:val="75AD0CCB"/>
    <w:rsid w:val="75F020A1"/>
    <w:rsid w:val="7615032B"/>
    <w:rsid w:val="76655349"/>
    <w:rsid w:val="7676736A"/>
    <w:rsid w:val="768F29EE"/>
    <w:rsid w:val="76926203"/>
    <w:rsid w:val="76933951"/>
    <w:rsid w:val="76FA7939"/>
    <w:rsid w:val="771D661B"/>
    <w:rsid w:val="771F7714"/>
    <w:rsid w:val="77207795"/>
    <w:rsid w:val="773903BD"/>
    <w:rsid w:val="773F662A"/>
    <w:rsid w:val="77441006"/>
    <w:rsid w:val="77617342"/>
    <w:rsid w:val="77890DAA"/>
    <w:rsid w:val="77D835AD"/>
    <w:rsid w:val="77E7259D"/>
    <w:rsid w:val="77ED3165"/>
    <w:rsid w:val="77EE2F48"/>
    <w:rsid w:val="784E332E"/>
    <w:rsid w:val="78782A0D"/>
    <w:rsid w:val="78C57EA9"/>
    <w:rsid w:val="791A571A"/>
    <w:rsid w:val="79286132"/>
    <w:rsid w:val="797E392B"/>
    <w:rsid w:val="79A2171F"/>
    <w:rsid w:val="79A252FF"/>
    <w:rsid w:val="79AD6D4C"/>
    <w:rsid w:val="79D33056"/>
    <w:rsid w:val="79E119BE"/>
    <w:rsid w:val="79E65B55"/>
    <w:rsid w:val="79E76BC3"/>
    <w:rsid w:val="7A0131C9"/>
    <w:rsid w:val="7A0E722C"/>
    <w:rsid w:val="7A124C14"/>
    <w:rsid w:val="7A3108D0"/>
    <w:rsid w:val="7A475E69"/>
    <w:rsid w:val="7A810C37"/>
    <w:rsid w:val="7A967D7E"/>
    <w:rsid w:val="7AAB2127"/>
    <w:rsid w:val="7ABB10EE"/>
    <w:rsid w:val="7AF11801"/>
    <w:rsid w:val="7B105707"/>
    <w:rsid w:val="7B14413D"/>
    <w:rsid w:val="7B302E56"/>
    <w:rsid w:val="7B350C9D"/>
    <w:rsid w:val="7B630771"/>
    <w:rsid w:val="7B7D36B3"/>
    <w:rsid w:val="7B9741C7"/>
    <w:rsid w:val="7BD27B88"/>
    <w:rsid w:val="7BF97979"/>
    <w:rsid w:val="7C0A1E29"/>
    <w:rsid w:val="7C1E1AF3"/>
    <w:rsid w:val="7C26369C"/>
    <w:rsid w:val="7C311CA7"/>
    <w:rsid w:val="7C3933DF"/>
    <w:rsid w:val="7C4A37AF"/>
    <w:rsid w:val="7C590E02"/>
    <w:rsid w:val="7C953C2D"/>
    <w:rsid w:val="7C9E5A24"/>
    <w:rsid w:val="7CAC00CB"/>
    <w:rsid w:val="7CBE2557"/>
    <w:rsid w:val="7CE73C35"/>
    <w:rsid w:val="7D022178"/>
    <w:rsid w:val="7D575412"/>
    <w:rsid w:val="7D62117D"/>
    <w:rsid w:val="7D6A7234"/>
    <w:rsid w:val="7D7E5CB0"/>
    <w:rsid w:val="7D83197B"/>
    <w:rsid w:val="7D956DDB"/>
    <w:rsid w:val="7DA67111"/>
    <w:rsid w:val="7DB119C8"/>
    <w:rsid w:val="7DB3208B"/>
    <w:rsid w:val="7DB5193A"/>
    <w:rsid w:val="7DB54254"/>
    <w:rsid w:val="7DD57D75"/>
    <w:rsid w:val="7DFD017F"/>
    <w:rsid w:val="7E181D7D"/>
    <w:rsid w:val="7E25073E"/>
    <w:rsid w:val="7E376DB7"/>
    <w:rsid w:val="7E3E1EF2"/>
    <w:rsid w:val="7E4B337A"/>
    <w:rsid w:val="7E5E744E"/>
    <w:rsid w:val="7E951513"/>
    <w:rsid w:val="7EA96AC5"/>
    <w:rsid w:val="7EB06086"/>
    <w:rsid w:val="7EC118B4"/>
    <w:rsid w:val="7EC83404"/>
    <w:rsid w:val="7ED01B68"/>
    <w:rsid w:val="7ED60A44"/>
    <w:rsid w:val="7EF74FC9"/>
    <w:rsid w:val="7F3745CA"/>
    <w:rsid w:val="7F5A59DA"/>
    <w:rsid w:val="7F653669"/>
    <w:rsid w:val="7F750737"/>
    <w:rsid w:val="7F7D388E"/>
    <w:rsid w:val="7F846976"/>
    <w:rsid w:val="7F8D00A8"/>
    <w:rsid w:val="7FA01201"/>
    <w:rsid w:val="7FB901DB"/>
    <w:rsid w:val="7FBB72CB"/>
    <w:rsid w:val="7FC66F29"/>
    <w:rsid w:val="7FE11C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8A373C"/>
  <w15:docId w15:val="{FCE54746-7909-4F52-9336-CAB1C5EE9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lsdException w:name="HTML Sample" w:semiHidden="1" w:unhideWhenUsed="1" w:qFormat="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before="50" w:afterLines="50" w:after="50" w:line="259" w:lineRule="auto"/>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rightChars="100" w:right="100"/>
      <w:outlineLvl w:val="1"/>
    </w:pPr>
    <w:rPr>
      <w:sz w:val="28"/>
    </w:rPr>
  </w:style>
  <w:style w:type="paragraph" w:styleId="3">
    <w:name w:val="heading 3"/>
    <w:basedOn w:val="2"/>
    <w:next w:val="a"/>
    <w:qFormat/>
    <w:pPr>
      <w:numPr>
        <w:ilvl w:val="2"/>
      </w:numPr>
      <w:spacing w:before="120"/>
      <w:outlineLvl w:val="2"/>
    </w:pPr>
    <w:rPr>
      <w:sz w:val="24"/>
    </w:rPr>
  </w:style>
  <w:style w:type="paragraph" w:styleId="4">
    <w:name w:val="heading 4"/>
    <w:basedOn w:val="3"/>
    <w:next w:val="a"/>
    <w:qFormat/>
    <w:pPr>
      <w:numPr>
        <w:ilvl w:val="3"/>
      </w:num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style>
  <w:style w:type="paragraph" w:styleId="a5">
    <w:name w:val="Body Text"/>
    <w:basedOn w:val="a"/>
    <w:qFormat/>
  </w:style>
  <w:style w:type="paragraph" w:styleId="TOC3">
    <w:name w:val="toc 3"/>
    <w:basedOn w:val="a"/>
    <w:next w:val="a"/>
    <w:uiPriority w:val="99"/>
    <w:unhideWhenUsed/>
    <w:qFormat/>
    <w:pPr>
      <w:adjustRightInd w:val="0"/>
      <w:ind w:leftChars="400" w:left="1282" w:hangingChars="200" w:hanging="442"/>
    </w:pPr>
    <w:rPr>
      <w:b/>
      <w:i/>
      <w:sz w:val="20"/>
    </w:rPr>
  </w:style>
  <w:style w:type="paragraph" w:styleId="a6">
    <w:name w:val="Balloon Text"/>
    <w:basedOn w:val="a"/>
    <w:link w:val="a7"/>
    <w:uiPriority w:val="99"/>
    <w:semiHidden/>
    <w:unhideWhenUsed/>
    <w:qFormat/>
    <w:pPr>
      <w:spacing w:before="0" w:after="0" w:line="240" w:lineRule="auto"/>
    </w:pPr>
    <w:rPr>
      <w:rFonts w:ascii="Microsoft YaHei UI" w:eastAsia="Microsoft YaHei UI"/>
      <w:sz w:val="18"/>
      <w:szCs w:val="18"/>
    </w:rPr>
  </w:style>
  <w:style w:type="paragraph" w:styleId="a8">
    <w:name w:val="footer"/>
    <w:basedOn w:val="a"/>
    <w:uiPriority w:val="99"/>
    <w:unhideWhenUsed/>
    <w:qFormat/>
    <w:pPr>
      <w:tabs>
        <w:tab w:val="center" w:pos="4153"/>
        <w:tab w:val="right" w:pos="8306"/>
      </w:tabs>
      <w:snapToGrid w:val="0"/>
      <w:jc w:val="left"/>
    </w:pPr>
    <w:rPr>
      <w:sz w:val="18"/>
      <w:szCs w:val="18"/>
    </w:rPr>
  </w:style>
  <w:style w:type="paragraph" w:styleId="a9">
    <w:name w:val="header"/>
    <w:basedOn w:val="a"/>
    <w:link w:val="aa"/>
    <w:semiHidden/>
    <w:qFormat/>
    <w:pPr>
      <w:tabs>
        <w:tab w:val="center" w:pos="4680"/>
        <w:tab w:val="right" w:pos="9360"/>
      </w:tabs>
      <w:spacing w:before="0" w:after="0" w:line="240" w:lineRule="auto"/>
    </w:pPr>
  </w:style>
  <w:style w:type="paragraph" w:styleId="TOC1">
    <w:name w:val="toc 1"/>
    <w:basedOn w:val="a"/>
    <w:next w:val="a"/>
    <w:uiPriority w:val="39"/>
    <w:unhideWhenUsed/>
    <w:qFormat/>
    <w:pPr>
      <w:tabs>
        <w:tab w:val="decimal" w:pos="0"/>
        <w:tab w:val="right" w:pos="9660"/>
      </w:tabs>
      <w:ind w:rightChars="200" w:right="420"/>
      <w:jc w:val="left"/>
    </w:pPr>
    <w:rPr>
      <w:rFonts w:eastAsiaTheme="minorEastAsia"/>
      <w:b/>
      <w:bCs/>
      <w:i/>
      <w:iCs/>
      <w:sz w:val="20"/>
    </w:rPr>
  </w:style>
  <w:style w:type="paragraph" w:styleId="ab">
    <w:name w:val="List"/>
    <w:basedOn w:val="a"/>
    <w:qFormat/>
    <w:pPr>
      <w:ind w:left="568" w:hanging="284"/>
    </w:pPr>
  </w:style>
  <w:style w:type="paragraph" w:styleId="ac">
    <w:name w:val="table of figures"/>
    <w:basedOn w:val="a"/>
    <w:next w:val="a"/>
    <w:uiPriority w:val="99"/>
    <w:semiHidden/>
    <w:unhideWhenUsed/>
    <w:qFormat/>
    <w:pPr>
      <w:ind w:leftChars="200" w:left="200" w:hangingChars="200" w:hanging="200"/>
    </w:pPr>
  </w:style>
  <w:style w:type="paragraph" w:styleId="TOC2">
    <w:name w:val="toc 2"/>
    <w:basedOn w:val="a"/>
    <w:next w:val="a"/>
    <w:uiPriority w:val="39"/>
    <w:unhideWhenUsed/>
    <w:qFormat/>
    <w:pPr>
      <w:tabs>
        <w:tab w:val="right" w:pos="420"/>
      </w:tabs>
      <w:ind w:leftChars="200" w:left="862" w:hangingChars="200" w:hanging="442"/>
      <w:jc w:val="left"/>
    </w:pPr>
    <w:rPr>
      <w:b/>
      <w:i/>
      <w:sz w:val="20"/>
    </w:rPr>
  </w:style>
  <w:style w:type="paragraph" w:styleId="ad">
    <w:name w:val="Normal (Web)"/>
    <w:basedOn w:val="a"/>
    <w:uiPriority w:val="99"/>
    <w:unhideWhenUsed/>
    <w:qFormat/>
    <w:pPr>
      <w:spacing w:after="0"/>
      <w:jc w:val="left"/>
    </w:pPr>
    <w:rPr>
      <w:rFonts w:ascii="宋体" w:hAnsi="宋体" w:cs="宋体"/>
      <w:sz w:val="24"/>
      <w:szCs w:val="24"/>
    </w:rPr>
  </w:style>
  <w:style w:type="paragraph" w:styleId="ae">
    <w:name w:val="annotation subject"/>
    <w:basedOn w:val="a3"/>
    <w:next w:val="a3"/>
    <w:link w:val="af"/>
    <w:uiPriority w:val="99"/>
    <w:semiHidden/>
    <w:unhideWhenUsed/>
    <w:qFormat/>
    <w:pPr>
      <w:spacing w:line="240" w:lineRule="auto"/>
    </w:pPr>
    <w:rPr>
      <w:b/>
      <w:bCs/>
      <w:sz w:val="20"/>
    </w:rPr>
  </w:style>
  <w:style w:type="table" w:styleId="af0">
    <w:name w:val="Table Grid"/>
    <w:basedOn w:val="a1"/>
    <w:uiPriority w:val="9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uiPriority w:val="99"/>
    <w:qFormat/>
    <w:rPr>
      <w:b/>
      <w:sz w:val="20"/>
      <w:szCs w:val="20"/>
      <w:shd w:val="clear" w:color="auto" w:fill="00A65A"/>
    </w:rPr>
  </w:style>
  <w:style w:type="character" w:styleId="af2">
    <w:name w:val="FollowedHyperlink"/>
    <w:basedOn w:val="a0"/>
    <w:uiPriority w:val="99"/>
    <w:semiHidden/>
    <w:unhideWhenUsed/>
    <w:qFormat/>
    <w:rPr>
      <w:color w:val="409EFF"/>
      <w:u w:val="none"/>
    </w:rPr>
  </w:style>
  <w:style w:type="character" w:styleId="HTML">
    <w:name w:val="HTML Definition"/>
    <w:basedOn w:val="a0"/>
    <w:uiPriority w:val="99"/>
    <w:semiHidden/>
    <w:unhideWhenUsed/>
    <w:qFormat/>
    <w:rPr>
      <w:i/>
      <w:shd w:val="clear" w:color="auto" w:fill="FFFFFF"/>
    </w:rPr>
  </w:style>
  <w:style w:type="character" w:styleId="af3">
    <w:name w:val="Hyperlink"/>
    <w:basedOn w:val="a0"/>
    <w:uiPriority w:val="99"/>
    <w:unhideWhenUsed/>
    <w:qFormat/>
    <w:rPr>
      <w:color w:val="409EFF"/>
      <w:u w:val="none"/>
    </w:rPr>
  </w:style>
  <w:style w:type="character" w:styleId="HTML0">
    <w:name w:val="HTML Code"/>
    <w:basedOn w:val="a0"/>
    <w:uiPriority w:val="99"/>
    <w:semiHidden/>
    <w:unhideWhenUsed/>
    <w:qFormat/>
    <w:rPr>
      <w:rFonts w:ascii="Consolas" w:eastAsia="Consolas" w:hAnsi="Consolas" w:cs="Consolas" w:hint="default"/>
      <w:color w:val="C7254E"/>
      <w:sz w:val="21"/>
      <w:szCs w:val="21"/>
      <w:shd w:val="clear" w:color="auto" w:fill="F9F2F4"/>
    </w:rPr>
  </w:style>
  <w:style w:type="character" w:styleId="af4">
    <w:name w:val="annotation reference"/>
    <w:basedOn w:val="a0"/>
    <w:uiPriority w:val="99"/>
    <w:semiHidden/>
    <w:unhideWhenUsed/>
    <w:qFormat/>
    <w:rPr>
      <w:sz w:val="16"/>
      <w:szCs w:val="16"/>
    </w:rPr>
  </w:style>
  <w:style w:type="character" w:styleId="HTML1">
    <w:name w:val="HTML Keyboard"/>
    <w:basedOn w:val="a0"/>
    <w:uiPriority w:val="99"/>
    <w:semiHidden/>
    <w:unhideWhenUsed/>
    <w:qFormat/>
    <w:rPr>
      <w:rFonts w:ascii="Consolas" w:eastAsia="Consolas" w:hAnsi="Consolas" w:cs="Consolas"/>
      <w:color w:val="FFFFFF"/>
      <w:sz w:val="21"/>
      <w:szCs w:val="21"/>
      <w:shd w:val="clear" w:color="auto" w:fill="333333"/>
    </w:rPr>
  </w:style>
  <w:style w:type="character" w:styleId="HTML2">
    <w:name w:val="HTML Sample"/>
    <w:basedOn w:val="a0"/>
    <w:uiPriority w:val="99"/>
    <w:semiHidden/>
    <w:unhideWhenUsed/>
    <w:qFormat/>
    <w:rPr>
      <w:rFonts w:ascii="Consolas" w:eastAsia="Consolas" w:hAnsi="Consolas" w:cs="Consolas" w:hint="default"/>
      <w:sz w:val="21"/>
      <w:szCs w:val="21"/>
    </w:rPr>
  </w:style>
  <w:style w:type="character" w:customStyle="1" w:styleId="a7">
    <w:name w:val="批注框文本 字符"/>
    <w:basedOn w:val="a0"/>
    <w:link w:val="a6"/>
    <w:uiPriority w:val="99"/>
    <w:semiHidden/>
    <w:qFormat/>
    <w:rPr>
      <w:rFonts w:ascii="Microsoft YaHei UI" w:eastAsia="Microsoft YaHei UI"/>
      <w:kern w:val="2"/>
      <w:sz w:val="18"/>
      <w:szCs w:val="18"/>
    </w:r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jc w:val="left"/>
    </w:pPr>
    <w:rPr>
      <w:rFonts w:eastAsiaTheme="minorEastAsia"/>
      <w:b/>
      <w:bCs/>
      <w:i/>
      <w:iCs/>
      <w:sz w:val="20"/>
      <w:lang w:val="en-GB" w:eastAsia="en-US"/>
    </w:rPr>
  </w:style>
  <w:style w:type="paragraph" w:customStyle="1" w:styleId="sub-proposal">
    <w:name w:val="sub-proposal"/>
    <w:basedOn w:val="YJ-Proposal"/>
    <w:next w:val="a"/>
    <w:qFormat/>
    <w:pPr>
      <w:numPr>
        <w:numId w:val="4"/>
      </w:numPr>
      <w:tabs>
        <w:tab w:val="left" w:pos="807"/>
      </w:tabs>
      <w:ind w:leftChars="200" w:left="862" w:hangingChars="200" w:hanging="442"/>
    </w:pPr>
  </w:style>
  <w:style w:type="paragraph" w:customStyle="1" w:styleId="sub-observation">
    <w:name w:val="sub-observation"/>
    <w:basedOn w:val="sub-proposal"/>
    <w:next w:val="a"/>
    <w:qFormat/>
  </w:style>
  <w:style w:type="paragraph" w:customStyle="1" w:styleId="3rdlevelproposal">
    <w:name w:val="3rd level proposal"/>
    <w:basedOn w:val="sub-proposal"/>
    <w:next w:val="a"/>
    <w:qFormat/>
    <w:pPr>
      <w:numPr>
        <w:numId w:val="5"/>
      </w:numPr>
      <w:ind w:leftChars="400" w:left="1282" w:hanging="442"/>
    </w:pPr>
  </w:style>
  <w:style w:type="paragraph" w:customStyle="1" w:styleId="3rdlevelobservation">
    <w:name w:val="3rd level observation"/>
    <w:basedOn w:val="sub-observation"/>
    <w:qFormat/>
    <w:pPr>
      <w:numPr>
        <w:numId w:val="6"/>
      </w:numPr>
      <w:ind w:leftChars="400" w:left="1282" w:hanging="442"/>
    </w:pPr>
  </w:style>
  <w:style w:type="paragraph" w:customStyle="1" w:styleId="References">
    <w:name w:val="References"/>
    <w:basedOn w:val="a"/>
    <w:qFormat/>
    <w:pPr>
      <w:numPr>
        <w:numId w:val="7"/>
      </w:numPr>
      <w:spacing w:after="60"/>
    </w:pPr>
    <w:rPr>
      <w:szCs w:val="16"/>
    </w:rPr>
  </w:style>
  <w:style w:type="paragraph" w:styleId="af5">
    <w:name w:val="List Paragraph"/>
    <w:basedOn w:val="a"/>
    <w:uiPriority w:val="34"/>
    <w:qFormat/>
    <w:pPr>
      <w:spacing w:beforeLines="0" w:after="0" w:line="240" w:lineRule="auto"/>
      <w:ind w:left="720"/>
      <w:contextualSpacing/>
    </w:pPr>
    <w:rPr>
      <w:rFonts w:eastAsia="Times New Roman"/>
      <w:sz w:val="24"/>
      <w:szCs w:val="24"/>
    </w:rPr>
  </w:style>
  <w:style w:type="paragraph" w:customStyle="1" w:styleId="10">
    <w:name w:val="样式1"/>
    <w:basedOn w:val="a"/>
    <w:qFormat/>
  </w:style>
  <w:style w:type="paragraph" w:customStyle="1" w:styleId="20">
    <w:name w:val="样式2"/>
    <w:basedOn w:val="a"/>
    <w:qFormat/>
  </w:style>
  <w:style w:type="character" w:customStyle="1" w:styleId="apple-converted-space">
    <w:name w:val="apple-converted-space"/>
    <w:basedOn w:val="a0"/>
    <w:qFormat/>
  </w:style>
  <w:style w:type="character" w:customStyle="1" w:styleId="a4">
    <w:name w:val="批注文字 字符"/>
    <w:basedOn w:val="a0"/>
    <w:link w:val="a3"/>
    <w:semiHidden/>
    <w:qFormat/>
    <w:rPr>
      <w:kern w:val="2"/>
      <w:sz w:val="21"/>
    </w:rPr>
  </w:style>
  <w:style w:type="character" w:customStyle="1" w:styleId="af">
    <w:name w:val="批注主题 字符"/>
    <w:basedOn w:val="a4"/>
    <w:link w:val="ae"/>
    <w:uiPriority w:val="99"/>
    <w:semiHidden/>
    <w:qFormat/>
    <w:rPr>
      <w:b/>
      <w:bCs/>
      <w:kern w:val="2"/>
      <w:sz w:val="21"/>
    </w:rPr>
  </w:style>
  <w:style w:type="character" w:customStyle="1" w:styleId="aa">
    <w:name w:val="页眉 字符"/>
    <w:basedOn w:val="a0"/>
    <w:link w:val="a9"/>
    <w:semiHidden/>
    <w:qFormat/>
    <w:rPr>
      <w:kern w:val="2"/>
      <w:sz w:val="21"/>
    </w:rPr>
  </w:style>
  <w:style w:type="character" w:customStyle="1" w:styleId="badge58">
    <w:name w:val="badge58"/>
    <w:basedOn w:val="a0"/>
    <w:qFormat/>
    <w:rPr>
      <w:b/>
      <w:color w:val="FFFFFF"/>
      <w:sz w:val="24"/>
      <w:szCs w:val="24"/>
      <w:shd w:val="clear" w:color="auto" w:fill="001F3F"/>
    </w:rPr>
  </w:style>
  <w:style w:type="character" w:customStyle="1" w:styleId="hover16">
    <w:name w:val="hover16"/>
    <w:basedOn w:val="a0"/>
    <w:qFormat/>
    <w:rPr>
      <w:shd w:val="clear" w:color="auto" w:fill="EEEEEE"/>
    </w:rPr>
  </w:style>
  <w:style w:type="character" w:customStyle="1" w:styleId="active3">
    <w:name w:val="active3"/>
    <w:basedOn w:val="a0"/>
    <w:qFormat/>
    <w:rPr>
      <w:color w:val="FFFFFF"/>
      <w:shd w:val="clear" w:color="auto" w:fill="006DCC"/>
    </w:rPr>
  </w:style>
  <w:style w:type="character" w:customStyle="1" w:styleId="old">
    <w:name w:val="old"/>
    <w:basedOn w:val="a0"/>
    <w:qFormat/>
    <w:rPr>
      <w:color w:val="999999"/>
    </w:rPr>
  </w:style>
  <w:style w:type="character" w:customStyle="1" w:styleId="via1">
    <w:name w:val="via1"/>
    <w:basedOn w:val="a0"/>
    <w:qFormat/>
    <w:rPr>
      <w:color w:val="959595"/>
    </w:rPr>
  </w:style>
  <w:style w:type="character" w:customStyle="1" w:styleId="keyword1">
    <w:name w:val="keyword1"/>
    <w:basedOn w:val="a0"/>
    <w:qFormat/>
  </w:style>
  <w:style w:type="character" w:customStyle="1" w:styleId="badge57">
    <w:name w:val="badge57"/>
    <w:basedOn w:val="a0"/>
    <w:qFormat/>
    <w:rPr>
      <w:b/>
      <w:color w:val="FFFFFF"/>
      <w:sz w:val="24"/>
      <w:szCs w:val="24"/>
      <w:shd w:val="clear" w:color="auto" w:fill="001F3F"/>
    </w:rPr>
  </w:style>
  <w:style w:type="character" w:customStyle="1" w:styleId="active1">
    <w:name w:val="active1"/>
    <w:basedOn w:val="a0"/>
    <w:qFormat/>
    <w:rPr>
      <w:color w:val="FFFFFF"/>
      <w:shd w:val="clear" w:color="auto" w:fill="006DCC"/>
    </w:rPr>
  </w:style>
  <w:style w:type="character" w:customStyle="1" w:styleId="badge56">
    <w:name w:val="badge56"/>
    <w:basedOn w:val="a0"/>
    <w:qFormat/>
    <w:rPr>
      <w:b/>
      <w:color w:val="FFFFFF"/>
      <w:sz w:val="24"/>
      <w:szCs w:val="24"/>
      <w:shd w:val="clear" w:color="auto" w:fill="001F3F"/>
    </w:rPr>
  </w:style>
  <w:style w:type="character" w:customStyle="1" w:styleId="hover14">
    <w:name w:val="hover14"/>
    <w:basedOn w:val="a0"/>
    <w:qFormat/>
    <w:rPr>
      <w:shd w:val="clear" w:color="auto" w:fill="EEEEEE"/>
    </w:rPr>
  </w:style>
  <w:style w:type="paragraph" w:customStyle="1" w:styleId="11">
    <w:name w:val="修订1"/>
    <w:hidden/>
    <w:uiPriority w:val="99"/>
    <w:semiHidden/>
    <w:qFormat/>
    <w:rPr>
      <w:kern w:val="2"/>
      <w:sz w:val="21"/>
    </w:rPr>
  </w:style>
  <w:style w:type="character" w:customStyle="1" w:styleId="hover15">
    <w:name w:val="hover15"/>
    <w:basedOn w:val="a0"/>
    <w:qFormat/>
    <w:rPr>
      <w:shd w:val="clear" w:color="auto" w:fill="EEEEEE"/>
    </w:rPr>
  </w:style>
  <w:style w:type="paragraph" w:customStyle="1" w:styleId="Default">
    <w:name w:val="Default"/>
    <w:uiPriority w:val="99"/>
    <w:unhideWhenUsed/>
    <w:qFormat/>
    <w:pPr>
      <w:widowControl w:val="0"/>
      <w:autoSpaceDE w:val="0"/>
      <w:autoSpaceDN w:val="0"/>
      <w:adjustRightInd w:val="0"/>
      <w:spacing w:after="160" w:line="259" w:lineRule="auto"/>
    </w:pPr>
    <w:rPr>
      <w:rFonts w:eastAsia="Times New Roman" w:hint="eastAsia"/>
      <w:color w:val="000000"/>
      <w:sz w:val="24"/>
    </w:rPr>
  </w:style>
  <w:style w:type="character" w:customStyle="1" w:styleId="hover">
    <w:name w:val="hover"/>
    <w:basedOn w:val="a0"/>
    <w:qFormat/>
    <w:rPr>
      <w:shd w:val="clear" w:color="auto" w:fill="EEEEEE"/>
    </w:rPr>
  </w:style>
  <w:style w:type="paragraph" w:customStyle="1" w:styleId="TAL">
    <w:name w:val="TAL"/>
    <w:basedOn w:val="a"/>
    <w:qFormat/>
    <w:pPr>
      <w:keepNext/>
      <w:keepLines/>
      <w:spacing w:after="0"/>
    </w:pPr>
    <w:rPr>
      <w:rFonts w:ascii="Arial" w:hAnsi="Arial"/>
      <w:sz w:val="18"/>
    </w:rPr>
  </w:style>
  <w:style w:type="character" w:customStyle="1" w:styleId="badge55">
    <w:name w:val="badge55"/>
    <w:basedOn w:val="a0"/>
    <w:qFormat/>
    <w:rPr>
      <w:b/>
      <w:color w:val="FFFFFF"/>
      <w:sz w:val="24"/>
      <w:szCs w:val="24"/>
      <w:shd w:val="clear" w:color="auto" w:fill="001F3F"/>
    </w:rPr>
  </w:style>
  <w:style w:type="character" w:customStyle="1" w:styleId="active">
    <w:name w:val="active"/>
    <w:basedOn w:val="a0"/>
    <w:qFormat/>
    <w:rPr>
      <w:color w:val="FFFFFF"/>
      <w:shd w:val="clear" w:color="auto" w:fill="006DCC"/>
    </w:rPr>
  </w:style>
  <w:style w:type="character" w:customStyle="1" w:styleId="badge">
    <w:name w:val="badge"/>
    <w:basedOn w:val="a0"/>
    <w:qFormat/>
    <w:rPr>
      <w:b/>
      <w:color w:val="FFFFFF"/>
      <w:sz w:val="24"/>
      <w:szCs w:val="24"/>
      <w:shd w:val="clear" w:color="auto" w:fill="001F3F"/>
    </w:rPr>
  </w:style>
  <w:style w:type="paragraph" w:customStyle="1" w:styleId="B1">
    <w:name w:val="B1"/>
    <w:basedOn w:val="ab"/>
    <w:qFormat/>
  </w:style>
  <w:style w:type="paragraph" w:customStyle="1" w:styleId="TH">
    <w:name w:val="TH"/>
    <w:basedOn w:val="a"/>
    <w:qFormat/>
    <w:pPr>
      <w:keepNext/>
      <w:keepLines/>
      <w:spacing w:before="60" w:after="180"/>
      <w:jc w:val="center"/>
    </w:pPr>
    <w:rPr>
      <w:b/>
      <w:lang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NewParagraphStyle">
    <w:name w:val="New Paragraph Style"/>
    <w:basedOn w:val="a"/>
    <w:qFormat/>
    <w:pPr>
      <w:widowControl w:val="0"/>
      <w:numPr>
        <w:numId w:val="8"/>
      </w:numPr>
      <w:adjustRightInd w:val="0"/>
      <w:spacing w:after="0" w:line="360" w:lineRule="auto"/>
      <w:textAlignment w:val="baseline"/>
    </w:pPr>
    <w:rPr>
      <w:rFonts w:eastAsia="Times New Roman"/>
      <w:bCs/>
    </w:rPr>
  </w:style>
  <w:style w:type="paragraph" w:customStyle="1" w:styleId="PatAppBody">
    <w:name w:val="PatApp Body"/>
    <w:basedOn w:val="a"/>
    <w:qFormat/>
    <w:pPr>
      <w:numPr>
        <w:numId w:val="9"/>
      </w:numPr>
      <w:spacing w:line="480" w:lineRule="auto"/>
      <w:jc w:val="left"/>
    </w:pPr>
    <w:rPr>
      <w:rFonts w:eastAsia="Times New Roman"/>
      <w:snapToGrid w:val="0"/>
      <w:kern w:val="0"/>
      <w:sz w:val="24"/>
      <w:lang w:eastAsia="en-US"/>
    </w:rPr>
  </w:style>
  <w:style w:type="paragraph" w:customStyle="1" w:styleId="B2">
    <w:name w:val="B2"/>
    <w:basedOn w:val="a"/>
    <w:qFormat/>
    <w:pPr>
      <w:ind w:left="851" w:hanging="284"/>
    </w:pPr>
    <w:rPr>
      <w:lang w:val="zh-CN"/>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EQ">
    <w:name w:val="EQ"/>
    <w:basedOn w:val="a"/>
    <w:next w:val="a"/>
    <w:uiPriority w:val="99"/>
    <w:qFormat/>
    <w:pPr>
      <w:keepLines/>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B19B85-6108-4A07-BF03-D06918DC7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1708</Words>
  <Characters>9738</Characters>
  <Application>Microsoft Office Word</Application>
  <DocSecurity>0</DocSecurity>
  <Lines>81</Lines>
  <Paragraphs>22</Paragraphs>
  <ScaleCrop>false</ScaleCrop>
  <Company/>
  <LinksUpToDate>false</LinksUpToDate>
  <CharactersWithSpaces>11424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 Mengzhu,2</cp:lastModifiedBy>
  <cp:revision>5</cp:revision>
  <dcterms:created xsi:type="dcterms:W3CDTF">2023-02-16T03:11:00Z</dcterms:created>
  <dcterms:modified xsi:type="dcterms:W3CDTF">2023-02-17T10:46:00Z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